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F70" w:rsidRPr="00682F5F" w:rsidRDefault="00894F70" w:rsidP="00381EF9">
      <w:pPr>
        <w:spacing w:line="360" w:lineRule="auto"/>
        <w:jc w:val="both"/>
        <w:rPr>
          <w:rFonts w:ascii="Times New Roman" w:hAnsi="Times New Roman" w:cs="Times New Roman"/>
          <w:b/>
          <w:bCs/>
          <w:sz w:val="24"/>
          <w:szCs w:val="24"/>
        </w:rPr>
      </w:pPr>
      <w:r w:rsidRPr="00682F5F">
        <w:rPr>
          <w:rFonts w:ascii="Times New Roman" w:hAnsi="Times New Roman" w:cs="Times New Roman"/>
          <w:b/>
          <w:bCs/>
          <w:sz w:val="24"/>
          <w:szCs w:val="24"/>
        </w:rPr>
        <w:t>Nombre del trabajo: Resignificación de la</w:t>
      </w:r>
      <w:r>
        <w:rPr>
          <w:rFonts w:ascii="Times New Roman" w:hAnsi="Times New Roman" w:cs="Times New Roman"/>
          <w:b/>
          <w:bCs/>
          <w:sz w:val="24"/>
          <w:szCs w:val="24"/>
        </w:rPr>
        <w:t>s</w:t>
      </w:r>
      <w:r w:rsidRPr="00682F5F">
        <w:rPr>
          <w:rFonts w:ascii="Times New Roman" w:hAnsi="Times New Roman" w:cs="Times New Roman"/>
          <w:b/>
          <w:bCs/>
          <w:sz w:val="24"/>
          <w:szCs w:val="24"/>
        </w:rPr>
        <w:t xml:space="preserve"> experiencias con alumnos como clave para re-pensar las instancias de Ingreso</w:t>
      </w:r>
    </w:p>
    <w:p w:rsidR="00894F70" w:rsidRPr="00682F5F" w:rsidRDefault="00894F70" w:rsidP="00381EF9">
      <w:pPr>
        <w:spacing w:line="360" w:lineRule="auto"/>
        <w:jc w:val="both"/>
        <w:rPr>
          <w:rFonts w:ascii="Times New Roman" w:hAnsi="Times New Roman" w:cs="Times New Roman"/>
          <w:b/>
          <w:bCs/>
          <w:sz w:val="24"/>
          <w:szCs w:val="24"/>
        </w:rPr>
      </w:pPr>
      <w:r w:rsidRPr="00682F5F">
        <w:rPr>
          <w:rFonts w:ascii="Times New Roman" w:hAnsi="Times New Roman" w:cs="Times New Roman"/>
          <w:b/>
          <w:bCs/>
          <w:sz w:val="24"/>
          <w:szCs w:val="24"/>
        </w:rPr>
        <w:t xml:space="preserve">Autoras: </w:t>
      </w:r>
      <w:r w:rsidRPr="00682F5F">
        <w:rPr>
          <w:rFonts w:ascii="Times New Roman" w:hAnsi="Times New Roman" w:cs="Times New Roman"/>
          <w:sz w:val="24"/>
          <w:szCs w:val="24"/>
        </w:rPr>
        <w:t>Dra. Ida Lucía Morchio</w:t>
      </w:r>
      <w:r w:rsidRPr="00682F5F">
        <w:rPr>
          <w:rFonts w:ascii="Times New Roman" w:hAnsi="Times New Roman" w:cs="Times New Roman"/>
          <w:b/>
          <w:bCs/>
          <w:sz w:val="24"/>
          <w:szCs w:val="24"/>
        </w:rPr>
        <w:t xml:space="preserve">- </w:t>
      </w:r>
      <w:r w:rsidRPr="00682F5F">
        <w:rPr>
          <w:rFonts w:ascii="Times New Roman" w:hAnsi="Times New Roman" w:cs="Times New Roman"/>
          <w:sz w:val="24"/>
          <w:szCs w:val="24"/>
        </w:rPr>
        <w:t>Prof. Solange Astudillo</w:t>
      </w:r>
      <w:r w:rsidRPr="00682F5F">
        <w:rPr>
          <w:rFonts w:ascii="Times New Roman" w:hAnsi="Times New Roman" w:cs="Times New Roman"/>
          <w:b/>
          <w:bCs/>
          <w:sz w:val="24"/>
          <w:szCs w:val="24"/>
        </w:rPr>
        <w:t xml:space="preserve">- </w:t>
      </w:r>
      <w:r w:rsidRPr="00682F5F">
        <w:rPr>
          <w:rFonts w:ascii="Times New Roman" w:hAnsi="Times New Roman" w:cs="Times New Roman"/>
          <w:sz w:val="24"/>
          <w:szCs w:val="24"/>
        </w:rPr>
        <w:t>Prof. Antonella Viggiani</w:t>
      </w:r>
      <w:r w:rsidRPr="00682F5F">
        <w:rPr>
          <w:rFonts w:ascii="Times New Roman" w:hAnsi="Times New Roman" w:cs="Times New Roman"/>
          <w:b/>
          <w:bCs/>
          <w:sz w:val="24"/>
          <w:szCs w:val="24"/>
        </w:rPr>
        <w:t xml:space="preserve">- </w:t>
      </w:r>
      <w:r w:rsidRPr="00682F5F">
        <w:rPr>
          <w:rFonts w:ascii="Times New Roman" w:hAnsi="Times New Roman" w:cs="Times New Roman"/>
          <w:sz w:val="24"/>
          <w:szCs w:val="24"/>
        </w:rPr>
        <w:t>Prof. Ma. Estefanía Giorda</w:t>
      </w:r>
    </w:p>
    <w:p w:rsidR="00894F70" w:rsidRPr="00682F5F" w:rsidRDefault="00894F70" w:rsidP="00381EF9">
      <w:pPr>
        <w:spacing w:line="360" w:lineRule="auto"/>
        <w:jc w:val="both"/>
        <w:rPr>
          <w:rFonts w:ascii="Times New Roman" w:hAnsi="Times New Roman" w:cs="Times New Roman"/>
          <w:sz w:val="24"/>
          <w:szCs w:val="24"/>
        </w:rPr>
      </w:pPr>
      <w:r w:rsidRPr="00682F5F">
        <w:rPr>
          <w:rFonts w:ascii="Times New Roman" w:hAnsi="Times New Roman" w:cs="Times New Roman"/>
          <w:b/>
          <w:bCs/>
          <w:sz w:val="24"/>
          <w:szCs w:val="24"/>
        </w:rPr>
        <w:t xml:space="preserve">Institución de Pertenencia: </w:t>
      </w:r>
      <w:r w:rsidRPr="00682F5F">
        <w:rPr>
          <w:rFonts w:ascii="Times New Roman" w:hAnsi="Times New Roman" w:cs="Times New Roman"/>
          <w:sz w:val="24"/>
          <w:szCs w:val="24"/>
        </w:rPr>
        <w:t>Facultad de Filosofía y Letras, Universidad Nacional de Cuyo</w:t>
      </w:r>
    </w:p>
    <w:p w:rsidR="00894F70" w:rsidRPr="00682F5F" w:rsidRDefault="00894F70" w:rsidP="00381EF9">
      <w:pPr>
        <w:spacing w:line="360" w:lineRule="auto"/>
        <w:jc w:val="both"/>
        <w:rPr>
          <w:rFonts w:ascii="Times New Roman" w:hAnsi="Times New Roman" w:cs="Times New Roman"/>
          <w:b/>
          <w:bCs/>
          <w:sz w:val="24"/>
          <w:szCs w:val="24"/>
        </w:rPr>
      </w:pPr>
      <w:r w:rsidRPr="00682F5F">
        <w:rPr>
          <w:rFonts w:ascii="Times New Roman" w:hAnsi="Times New Roman" w:cs="Times New Roman"/>
          <w:b/>
          <w:bCs/>
          <w:sz w:val="24"/>
          <w:szCs w:val="24"/>
        </w:rPr>
        <w:t xml:space="preserve">Palabras claves: </w:t>
      </w:r>
      <w:r w:rsidRPr="00955A6E">
        <w:rPr>
          <w:rFonts w:ascii="Times New Roman" w:hAnsi="Times New Roman" w:cs="Times New Roman"/>
          <w:sz w:val="24"/>
          <w:szCs w:val="24"/>
        </w:rPr>
        <w:t>Aprendizaje – Instancias de ingreso – Trayectoria universitaria</w:t>
      </w:r>
    </w:p>
    <w:p w:rsidR="00894F70" w:rsidRPr="00682F5F" w:rsidRDefault="00894F70" w:rsidP="00381EF9">
      <w:pPr>
        <w:spacing w:before="120" w:after="240" w:line="360" w:lineRule="auto"/>
        <w:jc w:val="both"/>
        <w:rPr>
          <w:rFonts w:ascii="Times New Roman" w:hAnsi="Times New Roman" w:cs="Times New Roman"/>
          <w:b/>
          <w:bCs/>
          <w:sz w:val="24"/>
          <w:szCs w:val="24"/>
        </w:rPr>
      </w:pPr>
      <w:r w:rsidRPr="00682F5F">
        <w:rPr>
          <w:rFonts w:ascii="Times New Roman" w:hAnsi="Times New Roman" w:cs="Times New Roman"/>
          <w:b/>
          <w:bCs/>
          <w:sz w:val="24"/>
          <w:szCs w:val="24"/>
        </w:rPr>
        <w:t>Introducción</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Ezcurra (2011), en </w:t>
      </w:r>
      <w:r w:rsidRPr="00682F5F">
        <w:rPr>
          <w:rFonts w:ascii="Times New Roman" w:hAnsi="Times New Roman" w:cs="Times New Roman"/>
          <w:i/>
          <w:iCs/>
          <w:sz w:val="24"/>
          <w:szCs w:val="24"/>
        </w:rPr>
        <w:t>Igualdad en educación superior</w:t>
      </w:r>
      <w:r w:rsidRPr="00682F5F">
        <w:rPr>
          <w:rFonts w:ascii="Times New Roman" w:hAnsi="Times New Roman" w:cs="Times New Roman"/>
          <w:sz w:val="24"/>
          <w:szCs w:val="24"/>
        </w:rPr>
        <w:t xml:space="preserve">,  plantea como tesis central que, en el marco de una masificación extraordinaria y persistente de la educación superior en el mundo, irrumpe una tendencia estructural y nodal: altas tasas de </w:t>
      </w:r>
      <w:r w:rsidRPr="00682F5F">
        <w:rPr>
          <w:rFonts w:ascii="Times New Roman" w:hAnsi="Times New Roman" w:cs="Times New Roman"/>
          <w:i/>
          <w:iCs/>
          <w:sz w:val="24"/>
          <w:szCs w:val="24"/>
        </w:rPr>
        <w:t>fracaso académico y abandono</w:t>
      </w:r>
      <w:r>
        <w:rPr>
          <w:rFonts w:ascii="Times New Roman" w:hAnsi="Times New Roman" w:cs="Times New Roman"/>
          <w:i/>
          <w:iCs/>
          <w:sz w:val="24"/>
          <w:szCs w:val="24"/>
        </w:rPr>
        <w:t xml:space="preserve"> </w:t>
      </w:r>
      <w:r w:rsidRPr="00682F5F">
        <w:rPr>
          <w:rFonts w:ascii="Times New Roman" w:hAnsi="Times New Roman" w:cs="Times New Roman"/>
          <w:sz w:val="24"/>
          <w:szCs w:val="24"/>
        </w:rPr>
        <w:t xml:space="preserve">(p 9). La autora explica el fenómeno que denomina “una inclusión excluyente” desde una perspectiva sociológica, en la que </w:t>
      </w:r>
      <w:r>
        <w:rPr>
          <w:rFonts w:ascii="Times New Roman" w:hAnsi="Times New Roman" w:cs="Times New Roman"/>
          <w:sz w:val="24"/>
          <w:szCs w:val="24"/>
        </w:rPr>
        <w:t>l</w:t>
      </w:r>
      <w:r w:rsidRPr="00682F5F">
        <w:rPr>
          <w:rFonts w:ascii="Times New Roman" w:hAnsi="Times New Roman" w:cs="Times New Roman"/>
          <w:sz w:val="24"/>
          <w:szCs w:val="24"/>
        </w:rPr>
        <w:t>a masificación entraña el ingreso a la educación superior de poblaciones antes excluidas, pero trae aparejado altas tasas de deserción, lo que lleva a pensar en “una puerta giratoria” (Ezcurra, 2011:22).</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Frente a la misma problemática -desproporción entre ingresantes y egresados-, adoptamos mirada psicoeducativa y analizamos la situación en el contexto de la UNCuyo desde cuatro perspectivas: 1. La experiencia en Cursos de Ingreso a la carrera de Ciencias de la Educación, 2. La experiencia del Ingreso virtual, 3. Las prácticas en el Servicio de Apoyo Pedagógico y Orientación al Estudiante de la Facultad de Filosofía y Letras de la UNCuyo y 4. Los resultados de investigaciones sobre Aprendizaje en Educación Superior (</w:t>
      </w:r>
      <w:r w:rsidRPr="00A66968">
        <w:rPr>
          <w:rFonts w:ascii="Times New Roman" w:hAnsi="Times New Roman" w:cs="Times New Roman"/>
          <w:sz w:val="24"/>
          <w:szCs w:val="24"/>
        </w:rPr>
        <w:t>Morchio, dir., SeCTyP</w:t>
      </w:r>
      <w:r w:rsidRPr="00682F5F">
        <w:rPr>
          <w:rFonts w:ascii="Times New Roman" w:hAnsi="Times New Roman" w:cs="Times New Roman"/>
          <w:sz w:val="24"/>
          <w:szCs w:val="24"/>
        </w:rPr>
        <w:t xml:space="preserve"> 2013-2015).</w:t>
      </w:r>
      <w:bookmarkStart w:id="0" w:name="_GoBack"/>
      <w:bookmarkEnd w:id="0"/>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Los objetivos de este trabajo son: Identificar elementos que obstaculizan el desempeño de los alumnos durante el curso de ingreso y en los dos primeros años en la carrera. Reconocer aspectos positivos, que constituyen potenciales factores protectores. Plantear algunas alternativas como aporte a un ingreso que contribuya a la permanencia.</w:t>
      </w:r>
    </w:p>
    <w:p w:rsidR="00894F70" w:rsidRPr="00955A6E" w:rsidRDefault="00894F70" w:rsidP="00381EF9">
      <w:pPr>
        <w:spacing w:before="120" w:after="240" w:line="360" w:lineRule="auto"/>
        <w:jc w:val="both"/>
        <w:rPr>
          <w:rFonts w:ascii="Times New Roman" w:hAnsi="Times New Roman" w:cs="Times New Roman"/>
          <w:b/>
          <w:bCs/>
          <w:i/>
          <w:iCs/>
          <w:sz w:val="24"/>
          <w:szCs w:val="24"/>
        </w:rPr>
      </w:pPr>
      <w:r w:rsidRPr="00955A6E">
        <w:rPr>
          <w:rFonts w:ascii="Times New Roman" w:hAnsi="Times New Roman" w:cs="Times New Roman"/>
          <w:b/>
          <w:bCs/>
          <w:i/>
          <w:iCs/>
          <w:sz w:val="24"/>
          <w:szCs w:val="24"/>
        </w:rPr>
        <w:t>Cinco perspectivas para analizar la distancia entre el ingreso y la permanencia</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b/>
          <w:bCs/>
          <w:sz w:val="24"/>
          <w:szCs w:val="24"/>
        </w:rPr>
        <w:t>1. Primera perspectiva: Desde la participación como docentes en el Curso de Ingreso a Ciencias de la Educación</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A partir de la experiencia de haber participado en diversas instancias que componen el Ingreso (Confrontación Vocacional, Alfabetización Académica y Ambientación a la vida Universitaria) hemos podido observar ciertas características que poseen, en general, los aspirantes a ingresar en la Carrera de Ciencias de la Educación.</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Antes de describir a las mismas, es necesario señalar que quienes </w:t>
      </w:r>
      <w:r>
        <w:rPr>
          <w:rFonts w:ascii="Times New Roman" w:hAnsi="Times New Roman" w:cs="Times New Roman"/>
          <w:sz w:val="24"/>
          <w:szCs w:val="24"/>
        </w:rPr>
        <w:t xml:space="preserve">aspiran a </w:t>
      </w:r>
      <w:r w:rsidRPr="00682F5F">
        <w:rPr>
          <w:rFonts w:ascii="Times New Roman" w:hAnsi="Times New Roman" w:cs="Times New Roman"/>
          <w:sz w:val="24"/>
          <w:szCs w:val="24"/>
        </w:rPr>
        <w:t xml:space="preserve">ingresar a </w:t>
      </w:r>
      <w:r>
        <w:rPr>
          <w:rFonts w:ascii="Times New Roman" w:hAnsi="Times New Roman" w:cs="Times New Roman"/>
          <w:sz w:val="24"/>
          <w:szCs w:val="24"/>
        </w:rPr>
        <w:t xml:space="preserve">esta carrera conforman </w:t>
      </w:r>
      <w:r w:rsidRPr="00682F5F">
        <w:rPr>
          <w:rFonts w:ascii="Times New Roman" w:hAnsi="Times New Roman" w:cs="Times New Roman"/>
          <w:sz w:val="24"/>
          <w:szCs w:val="24"/>
        </w:rPr>
        <w:t>una población bastante heterogénea, y por cierto, la trayectoria vital y educativa de cada uno atraviesa sus prácticas de aprendizaje y las enmarca de forma particular.</w:t>
      </w:r>
    </w:p>
    <w:p w:rsidR="00894F70" w:rsidRPr="00682F5F"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En este sentido y </w:t>
      </w:r>
      <w:r>
        <w:rPr>
          <w:rFonts w:ascii="Times New Roman" w:hAnsi="Times New Roman" w:cs="Times New Roman"/>
          <w:sz w:val="24"/>
          <w:szCs w:val="24"/>
        </w:rPr>
        <w:t xml:space="preserve">con </w:t>
      </w:r>
      <w:r w:rsidRPr="00682F5F">
        <w:rPr>
          <w:rFonts w:ascii="Times New Roman" w:hAnsi="Times New Roman" w:cs="Times New Roman"/>
          <w:sz w:val="24"/>
          <w:szCs w:val="24"/>
        </w:rPr>
        <w:t>respecto a la alfabetización académica, no todos los estudiantes poseen los mismos recursos cognitivos para abordar la complejidad de la tarea intelectual académica</w:t>
      </w:r>
      <w:r>
        <w:rPr>
          <w:rFonts w:ascii="Times New Roman" w:hAnsi="Times New Roman" w:cs="Times New Roman"/>
          <w:sz w:val="24"/>
          <w:szCs w:val="24"/>
        </w:rPr>
        <w:t>,</w:t>
      </w:r>
      <w:r w:rsidRPr="00682F5F">
        <w:rPr>
          <w:rFonts w:ascii="Times New Roman" w:hAnsi="Times New Roman" w:cs="Times New Roman"/>
          <w:sz w:val="24"/>
          <w:szCs w:val="24"/>
        </w:rPr>
        <w:t xml:space="preserve"> la cual exige capacidades específicas para comprender y significar lo que se lee, el empleo de recursos metacognitivos, la autorregulación de la propia conducta y la alfabetización disciplinar. </w:t>
      </w:r>
    </w:p>
    <w:p w:rsidR="00894F70"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Sobre este punto, </w:t>
      </w:r>
      <w:r>
        <w:rPr>
          <w:rFonts w:ascii="Times New Roman" w:hAnsi="Times New Roman" w:cs="Times New Roman"/>
          <w:sz w:val="24"/>
          <w:szCs w:val="24"/>
        </w:rPr>
        <w:t>notamos</w:t>
      </w:r>
      <w:r w:rsidRPr="00682F5F">
        <w:rPr>
          <w:rFonts w:ascii="Times New Roman" w:hAnsi="Times New Roman" w:cs="Times New Roman"/>
          <w:sz w:val="24"/>
          <w:szCs w:val="24"/>
        </w:rPr>
        <w:t xml:space="preserve">: 1. La presencia de estudiantes que </w:t>
      </w:r>
      <w:r>
        <w:rPr>
          <w:rFonts w:ascii="Times New Roman" w:hAnsi="Times New Roman" w:cs="Times New Roman"/>
          <w:sz w:val="24"/>
          <w:szCs w:val="24"/>
        </w:rPr>
        <w:t>-</w:t>
      </w:r>
      <w:r w:rsidRPr="00682F5F">
        <w:rPr>
          <w:rFonts w:ascii="Times New Roman" w:hAnsi="Times New Roman" w:cs="Times New Roman"/>
          <w:sz w:val="24"/>
          <w:szCs w:val="24"/>
        </w:rPr>
        <w:t xml:space="preserve">siendo capaces de advertir lo que el medio les demanda- desarrollan de manera autónoma estrategias metodológicas y cognitivas para responder a las exigencias de la tarea, 2. La presencia de estudiantes cuyos obstáculos para proceder no </w:t>
      </w:r>
      <w:r>
        <w:rPr>
          <w:rFonts w:ascii="Times New Roman" w:hAnsi="Times New Roman" w:cs="Times New Roman"/>
          <w:sz w:val="24"/>
          <w:szCs w:val="24"/>
        </w:rPr>
        <w:t xml:space="preserve">derivan de </w:t>
      </w:r>
      <w:r w:rsidRPr="00682F5F">
        <w:rPr>
          <w:rFonts w:ascii="Times New Roman" w:hAnsi="Times New Roman" w:cs="Times New Roman"/>
          <w:sz w:val="24"/>
          <w:szCs w:val="24"/>
        </w:rPr>
        <w:t xml:space="preserve">una dificultad </w:t>
      </w:r>
      <w:r>
        <w:rPr>
          <w:rFonts w:ascii="Times New Roman" w:hAnsi="Times New Roman" w:cs="Times New Roman"/>
          <w:sz w:val="24"/>
          <w:szCs w:val="24"/>
        </w:rPr>
        <w:t xml:space="preserve">ligada con </w:t>
      </w:r>
      <w:r w:rsidRPr="00682F5F">
        <w:rPr>
          <w:rFonts w:ascii="Times New Roman" w:hAnsi="Times New Roman" w:cs="Times New Roman"/>
          <w:sz w:val="24"/>
          <w:szCs w:val="24"/>
        </w:rPr>
        <w:t xml:space="preserve">la propia capacidad, sino más bien, de una problemática que involucra a los niveles educativos previos. Las estrategias </w:t>
      </w:r>
      <w:r>
        <w:rPr>
          <w:rFonts w:ascii="Times New Roman" w:hAnsi="Times New Roman" w:cs="Times New Roman"/>
          <w:sz w:val="24"/>
          <w:szCs w:val="24"/>
        </w:rPr>
        <w:t xml:space="preserve">de lectura </w:t>
      </w:r>
      <w:r w:rsidRPr="00682F5F">
        <w:rPr>
          <w:rFonts w:ascii="Times New Roman" w:hAnsi="Times New Roman" w:cs="Times New Roman"/>
          <w:sz w:val="24"/>
          <w:szCs w:val="24"/>
        </w:rPr>
        <w:t xml:space="preserve">que el estudiante </w:t>
      </w:r>
      <w:r>
        <w:rPr>
          <w:rFonts w:ascii="Times New Roman" w:hAnsi="Times New Roman" w:cs="Times New Roman"/>
          <w:sz w:val="24"/>
          <w:szCs w:val="24"/>
        </w:rPr>
        <w:t>“trae”, le resultan</w:t>
      </w:r>
      <w:r w:rsidRPr="00682F5F">
        <w:rPr>
          <w:rFonts w:ascii="Times New Roman" w:hAnsi="Times New Roman" w:cs="Times New Roman"/>
          <w:sz w:val="24"/>
          <w:szCs w:val="24"/>
        </w:rPr>
        <w:t xml:space="preserve"> insuficientes para abordar la complejidad de los textos que propone la universidad.</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Otra característica, es la dificultad para expresarse de forma oral y escrita. Por un lado, se advierte un escaso ejercicio reflexivo que le permita al estudiante comunicar su punto de vista respecto</w:t>
      </w:r>
      <w:r>
        <w:rPr>
          <w:rFonts w:ascii="Times New Roman" w:hAnsi="Times New Roman" w:cs="Times New Roman"/>
          <w:sz w:val="24"/>
          <w:szCs w:val="24"/>
        </w:rPr>
        <w:t xml:space="preserve"> de</w:t>
      </w:r>
      <w:r w:rsidRPr="00682F5F">
        <w:rPr>
          <w:rFonts w:ascii="Times New Roman" w:hAnsi="Times New Roman" w:cs="Times New Roman"/>
          <w:sz w:val="24"/>
          <w:szCs w:val="24"/>
        </w:rPr>
        <w:t xml:space="preserve"> una temática en particular, seguido por un acotado vocabulario y manejo de recursos interpersonales que le permitan transmitir un determinado mensaje.  Luego, respecto a la expresión escrita no se visibiliza una tarea metacognitiva respecto de la duda ortográfica o gramatical (Carlino, 2013), manifestando inconvenientes a la hora de redactar respuestas o textos.</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Por otro lado, </w:t>
      </w:r>
      <w:r>
        <w:rPr>
          <w:rFonts w:ascii="Times New Roman" w:hAnsi="Times New Roman" w:cs="Times New Roman"/>
          <w:sz w:val="24"/>
          <w:szCs w:val="24"/>
        </w:rPr>
        <w:t>en instancias de evaluación, algunos estudiantes elaboran producciones de síntesis que sugieren escas</w:t>
      </w:r>
      <w:r w:rsidRPr="00682F5F">
        <w:rPr>
          <w:rFonts w:ascii="Times New Roman" w:hAnsi="Times New Roman" w:cs="Times New Roman"/>
          <w:sz w:val="24"/>
          <w:szCs w:val="24"/>
        </w:rPr>
        <w:t xml:space="preserve">a comprensión del contenido de </w:t>
      </w:r>
      <w:r>
        <w:rPr>
          <w:rFonts w:ascii="Times New Roman" w:hAnsi="Times New Roman" w:cs="Times New Roman"/>
          <w:sz w:val="24"/>
          <w:szCs w:val="24"/>
        </w:rPr>
        <w:t>aprendizaje</w:t>
      </w:r>
      <w:r w:rsidRPr="00682F5F">
        <w:rPr>
          <w:rFonts w:ascii="Times New Roman" w:hAnsi="Times New Roman" w:cs="Times New Roman"/>
          <w:sz w:val="24"/>
          <w:szCs w:val="24"/>
        </w:rPr>
        <w:t xml:space="preserve"> (resúmenes, síntesis, esquemas, etc.)</w:t>
      </w:r>
      <w:r>
        <w:rPr>
          <w:rFonts w:ascii="Times New Roman" w:hAnsi="Times New Roman" w:cs="Times New Roman"/>
          <w:sz w:val="24"/>
          <w:szCs w:val="24"/>
        </w:rPr>
        <w:t xml:space="preserve">. </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En cuanto a </w:t>
      </w:r>
      <w:r w:rsidRPr="00682F5F">
        <w:rPr>
          <w:rFonts w:ascii="Times New Roman" w:hAnsi="Times New Roman" w:cs="Times New Roman"/>
          <w:sz w:val="24"/>
          <w:szCs w:val="24"/>
        </w:rPr>
        <w:t>la ambientación a la vida universitaria</w:t>
      </w:r>
      <w:r>
        <w:rPr>
          <w:rFonts w:ascii="Times New Roman" w:hAnsi="Times New Roman" w:cs="Times New Roman"/>
          <w:sz w:val="24"/>
          <w:szCs w:val="24"/>
        </w:rPr>
        <w:t xml:space="preserve">, </w:t>
      </w:r>
      <w:r w:rsidRPr="00682F5F">
        <w:rPr>
          <w:rFonts w:ascii="Times New Roman" w:hAnsi="Times New Roman" w:cs="Times New Roman"/>
          <w:sz w:val="24"/>
          <w:szCs w:val="24"/>
        </w:rPr>
        <w:t xml:space="preserve">los estudiantes presentan diferentes niveles de conocimiento e información acerca de lo que supone ser estudiante universitario. Mientras </w:t>
      </w:r>
      <w:r>
        <w:rPr>
          <w:rFonts w:ascii="Times New Roman" w:hAnsi="Times New Roman" w:cs="Times New Roman"/>
          <w:sz w:val="24"/>
          <w:szCs w:val="24"/>
        </w:rPr>
        <w:t xml:space="preserve">que </w:t>
      </w:r>
      <w:r w:rsidRPr="00682F5F">
        <w:rPr>
          <w:rFonts w:ascii="Times New Roman" w:hAnsi="Times New Roman" w:cs="Times New Roman"/>
          <w:sz w:val="24"/>
          <w:szCs w:val="24"/>
        </w:rPr>
        <w:t xml:space="preserve">algunos estudiantes “manejan las reglas” sobre las que se estructura la dinámica universitaria (entiéndase por ello régimen de cursado, acreditación, etc.), otros </w:t>
      </w:r>
      <w:r>
        <w:rPr>
          <w:rFonts w:ascii="Times New Roman" w:hAnsi="Times New Roman" w:cs="Times New Roman"/>
          <w:sz w:val="24"/>
          <w:szCs w:val="24"/>
        </w:rPr>
        <w:t xml:space="preserve">las </w:t>
      </w:r>
      <w:r w:rsidRPr="00682F5F">
        <w:rPr>
          <w:rFonts w:ascii="Times New Roman" w:hAnsi="Times New Roman" w:cs="Times New Roman"/>
          <w:sz w:val="24"/>
          <w:szCs w:val="24"/>
        </w:rPr>
        <w:t xml:space="preserve">desconocen o no </w:t>
      </w:r>
      <w:r>
        <w:rPr>
          <w:rFonts w:ascii="Times New Roman" w:hAnsi="Times New Roman" w:cs="Times New Roman"/>
          <w:sz w:val="24"/>
          <w:szCs w:val="24"/>
        </w:rPr>
        <w:t xml:space="preserve">las </w:t>
      </w:r>
      <w:r w:rsidRPr="00682F5F">
        <w:rPr>
          <w:rFonts w:ascii="Times New Roman" w:hAnsi="Times New Roman" w:cs="Times New Roman"/>
          <w:sz w:val="24"/>
          <w:szCs w:val="24"/>
        </w:rPr>
        <w:t xml:space="preserve">comprenden </w:t>
      </w:r>
      <w:r>
        <w:rPr>
          <w:rFonts w:ascii="Times New Roman" w:hAnsi="Times New Roman" w:cs="Times New Roman"/>
          <w:sz w:val="24"/>
          <w:szCs w:val="24"/>
        </w:rPr>
        <w:t xml:space="preserve">fehacientemente, </w:t>
      </w:r>
      <w:r w:rsidRPr="00682F5F">
        <w:rPr>
          <w:rFonts w:ascii="Times New Roman" w:hAnsi="Times New Roman" w:cs="Times New Roman"/>
          <w:sz w:val="24"/>
          <w:szCs w:val="24"/>
        </w:rPr>
        <w:t>lo cual puede constituirse en un problema a futuro.</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 la misma forma</w:t>
      </w:r>
      <w:r w:rsidRPr="00682F5F">
        <w:rPr>
          <w:rFonts w:ascii="Times New Roman" w:hAnsi="Times New Roman" w:cs="Times New Roman"/>
          <w:sz w:val="24"/>
          <w:szCs w:val="24"/>
        </w:rPr>
        <w:t>, generalmente, los estudiantes ingresantes de la carrera de Ciencias de la Educación cuentan con ciertas herramientas cognitivas que pueden facilitar sus trayectorias estudiantiles. Estas tienen que ver con</w:t>
      </w:r>
      <w:r>
        <w:rPr>
          <w:rFonts w:ascii="Times New Roman" w:hAnsi="Times New Roman" w:cs="Times New Roman"/>
          <w:sz w:val="24"/>
          <w:szCs w:val="24"/>
        </w:rPr>
        <w:t xml:space="preserve"> una </w:t>
      </w:r>
      <w:r w:rsidRPr="00682F5F">
        <w:rPr>
          <w:rFonts w:ascii="Times New Roman" w:hAnsi="Times New Roman" w:cs="Times New Roman"/>
          <w:sz w:val="24"/>
          <w:szCs w:val="24"/>
        </w:rPr>
        <w:t>predisposición</w:t>
      </w:r>
      <w:r>
        <w:rPr>
          <w:rFonts w:ascii="Times New Roman" w:hAnsi="Times New Roman" w:cs="Times New Roman"/>
          <w:sz w:val="24"/>
          <w:szCs w:val="24"/>
        </w:rPr>
        <w:t xml:space="preserve"> favorable</w:t>
      </w:r>
      <w:r w:rsidRPr="00682F5F">
        <w:rPr>
          <w:rFonts w:ascii="Times New Roman" w:hAnsi="Times New Roman" w:cs="Times New Roman"/>
          <w:sz w:val="24"/>
          <w:szCs w:val="24"/>
        </w:rPr>
        <w:t xml:space="preserve"> para aprender -de otra forma no hubieran elegido estudiar-, cierta plasticidad en el aprendizaje </w:t>
      </w:r>
      <w:r>
        <w:rPr>
          <w:rFonts w:ascii="Times New Roman" w:hAnsi="Times New Roman" w:cs="Times New Roman"/>
          <w:sz w:val="24"/>
          <w:szCs w:val="24"/>
        </w:rPr>
        <w:t>-</w:t>
      </w:r>
      <w:r w:rsidRPr="00682F5F">
        <w:rPr>
          <w:rFonts w:ascii="Times New Roman" w:hAnsi="Times New Roman" w:cs="Times New Roman"/>
          <w:sz w:val="24"/>
          <w:szCs w:val="24"/>
        </w:rPr>
        <w:t xml:space="preserve">propia de la edad promedio de quienes aspiran a ingresar-, expectativas positivas de hacer una carrera universitaria y ciertos conocimientos para utilizar los medios de comunicación digitales -se menciona específicamente a los medios ya que muchas veces el manejo de estas </w:t>
      </w:r>
      <w:r>
        <w:rPr>
          <w:rFonts w:ascii="Times New Roman" w:hAnsi="Times New Roman" w:cs="Times New Roman"/>
          <w:sz w:val="24"/>
          <w:szCs w:val="24"/>
        </w:rPr>
        <w:t xml:space="preserve">tecnologías </w:t>
      </w:r>
      <w:r w:rsidRPr="00682F5F">
        <w:rPr>
          <w:rFonts w:ascii="Times New Roman" w:hAnsi="Times New Roman" w:cs="Times New Roman"/>
          <w:sz w:val="24"/>
          <w:szCs w:val="24"/>
        </w:rPr>
        <w:t xml:space="preserve">se reduce a lo meramente comunicacional, dejando de lado otras posibilidades más académicas que ofrece el mundo virtual. </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F41606" w:rsidRDefault="00894F70" w:rsidP="00F41606">
      <w:pPr>
        <w:spacing w:after="0" w:line="360" w:lineRule="auto"/>
        <w:jc w:val="both"/>
        <w:rPr>
          <w:rFonts w:ascii="Times New Roman" w:hAnsi="Times New Roman" w:cs="Times New Roman"/>
          <w:sz w:val="24"/>
          <w:szCs w:val="24"/>
        </w:rPr>
      </w:pPr>
      <w:r w:rsidRPr="00682F5F">
        <w:rPr>
          <w:rFonts w:ascii="Times New Roman" w:hAnsi="Times New Roman" w:cs="Times New Roman"/>
          <w:b/>
          <w:bCs/>
          <w:sz w:val="24"/>
          <w:szCs w:val="24"/>
        </w:rPr>
        <w:t>2. Desde la experiencia del Ingreso Virtual (2013)</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El proyecto “Ingreso Virtual en la Facultad de  Filosofía y Letras”  surgió de la convicción y el compromiso por posibilitar el derecho a la educación, abriendo espacios alternativos que promuevan la igualdad de oportunidades. </w:t>
      </w:r>
    </w:p>
    <w:p w:rsidR="00894F70" w:rsidRPr="00682F5F" w:rsidRDefault="00894F70" w:rsidP="00381EF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Ante la  situación de que no todos los estudiantes -por diversas razones-, podían asistir en forma presencial al curso de Ingreso,</w:t>
      </w:r>
      <w:r w:rsidRPr="00682F5F">
        <w:rPr>
          <w:rFonts w:ascii="Times New Roman" w:hAnsi="Times New Roman" w:cs="Times New Roman"/>
          <w:sz w:val="24"/>
          <w:szCs w:val="24"/>
        </w:rPr>
        <w:t xml:space="preserve"> la Faculta</w:t>
      </w:r>
      <w:r>
        <w:rPr>
          <w:rFonts w:ascii="Times New Roman" w:hAnsi="Times New Roman" w:cs="Times New Roman"/>
          <w:sz w:val="24"/>
          <w:szCs w:val="24"/>
        </w:rPr>
        <w:t>d junto a</w:t>
      </w:r>
      <w:r w:rsidRPr="00682F5F">
        <w:rPr>
          <w:rFonts w:ascii="Times New Roman" w:hAnsi="Times New Roman" w:cs="Times New Roman"/>
          <w:sz w:val="24"/>
          <w:szCs w:val="24"/>
        </w:rPr>
        <w:t>l equipo que coordinaba</w:t>
      </w:r>
      <w:r>
        <w:rPr>
          <w:rFonts w:ascii="Times New Roman" w:hAnsi="Times New Roman" w:cs="Times New Roman"/>
          <w:sz w:val="24"/>
          <w:szCs w:val="24"/>
        </w:rPr>
        <w:t xml:space="preserve"> el ingreso en el  marco de las</w:t>
      </w:r>
      <w:r w:rsidRPr="00682F5F">
        <w:rPr>
          <w:rFonts w:ascii="Times New Roman" w:hAnsi="Times New Roman" w:cs="Times New Roman"/>
          <w:sz w:val="24"/>
          <w:szCs w:val="24"/>
        </w:rPr>
        <w:t> Trayectorias Académ</w:t>
      </w:r>
      <w:r>
        <w:rPr>
          <w:rFonts w:ascii="Times New Roman" w:hAnsi="Times New Roman" w:cs="Times New Roman"/>
          <w:sz w:val="24"/>
          <w:szCs w:val="24"/>
        </w:rPr>
        <w:t xml:space="preserve">icas Estudiantiles (TRACES) </w:t>
      </w:r>
      <w:r w:rsidRPr="00682F5F">
        <w:rPr>
          <w:rFonts w:ascii="Times New Roman" w:hAnsi="Times New Roman" w:cs="Times New Roman"/>
          <w:sz w:val="24"/>
          <w:szCs w:val="24"/>
        </w:rPr>
        <w:t xml:space="preserve">desarrolló </w:t>
      </w:r>
      <w:r>
        <w:rPr>
          <w:rFonts w:ascii="Times New Roman" w:hAnsi="Times New Roman" w:cs="Times New Roman"/>
          <w:sz w:val="24"/>
          <w:szCs w:val="24"/>
        </w:rPr>
        <w:t xml:space="preserve">una propuesta </w:t>
      </w:r>
      <w:r w:rsidRPr="00682F5F">
        <w:rPr>
          <w:rFonts w:ascii="Times New Roman" w:hAnsi="Times New Roman" w:cs="Times New Roman"/>
          <w:sz w:val="24"/>
          <w:szCs w:val="24"/>
        </w:rPr>
        <w:t xml:space="preserve">virtual como alternativa </w:t>
      </w:r>
      <w:r>
        <w:rPr>
          <w:rFonts w:ascii="Times New Roman" w:hAnsi="Times New Roman" w:cs="Times New Roman"/>
          <w:sz w:val="24"/>
          <w:szCs w:val="24"/>
        </w:rPr>
        <w:t xml:space="preserve">para dar respuesta a </w:t>
      </w:r>
      <w:r w:rsidRPr="00682F5F">
        <w:rPr>
          <w:rFonts w:ascii="Times New Roman" w:hAnsi="Times New Roman" w:cs="Times New Roman"/>
          <w:sz w:val="24"/>
          <w:szCs w:val="24"/>
        </w:rPr>
        <w:t xml:space="preserve">necesidades específicas de los </w:t>
      </w:r>
      <w:r>
        <w:rPr>
          <w:rFonts w:ascii="Times New Roman" w:hAnsi="Times New Roman" w:cs="Times New Roman"/>
          <w:sz w:val="24"/>
          <w:szCs w:val="24"/>
        </w:rPr>
        <w:t>aspirantes</w:t>
      </w:r>
      <w:r w:rsidRPr="00682F5F">
        <w:rPr>
          <w:rFonts w:ascii="Times New Roman" w:hAnsi="Times New Roman" w:cs="Times New Roman"/>
          <w:sz w:val="24"/>
          <w:szCs w:val="24"/>
        </w:rPr>
        <w:t xml:space="preserve">. </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Desde el año 2013 se lleva a cabo el  Ingreso Virtual como una manera de formalizar  </w:t>
      </w:r>
      <w:r>
        <w:rPr>
          <w:rFonts w:ascii="Times New Roman" w:hAnsi="Times New Roman" w:cs="Times New Roman"/>
          <w:sz w:val="24"/>
          <w:szCs w:val="24"/>
        </w:rPr>
        <w:t>l</w:t>
      </w:r>
      <w:r w:rsidRPr="00682F5F">
        <w:rPr>
          <w:rFonts w:ascii="Times New Roman" w:hAnsi="Times New Roman" w:cs="Times New Roman"/>
          <w:sz w:val="24"/>
          <w:szCs w:val="24"/>
        </w:rPr>
        <w:t>a e</w:t>
      </w:r>
      <w:r>
        <w:rPr>
          <w:rFonts w:ascii="Times New Roman" w:hAnsi="Times New Roman" w:cs="Times New Roman"/>
          <w:sz w:val="24"/>
          <w:szCs w:val="24"/>
        </w:rPr>
        <w:t xml:space="preserve">xperiencia de tutoría, implementada vía email y en forma voluntaria por </w:t>
      </w:r>
      <w:r w:rsidRPr="00682F5F">
        <w:rPr>
          <w:rFonts w:ascii="Times New Roman" w:hAnsi="Times New Roman" w:cs="Times New Roman"/>
          <w:sz w:val="24"/>
          <w:szCs w:val="24"/>
        </w:rPr>
        <w:t xml:space="preserve">alumnos avanzados de la carrea de Letras. Ante la aceptación de esta iniciativa por parte de los aspirantes se decidió incorporar la modalidad de Educación a Distancia en este primer taller, cuyos objetivos </w:t>
      </w:r>
      <w:r>
        <w:rPr>
          <w:rFonts w:ascii="Times New Roman" w:hAnsi="Times New Roman" w:cs="Times New Roman"/>
          <w:sz w:val="24"/>
          <w:szCs w:val="24"/>
        </w:rPr>
        <w:t>fueron</w:t>
      </w:r>
      <w:r w:rsidRPr="00682F5F">
        <w:rPr>
          <w:rFonts w:ascii="Times New Roman" w:hAnsi="Times New Roman" w:cs="Times New Roman"/>
          <w:sz w:val="24"/>
          <w:szCs w:val="24"/>
        </w:rPr>
        <w:t>: a) promover la igualdad de oportunidades a los aspirantes; b) ayudar, orientar, acompañar el inicio de la trayectoria académica de los estudiantes; c) crear puentes entre la Facultad y los estudiantes.   </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Para esta experiencia se utilizó la plataforma educativa Uncuvirtual. Se convocó a un equipo de trabajo para llevar a cabo la propuesta. Entre ellos se contó con una coordinadora general, tutores disciplinares y profesores.  </w:t>
      </w:r>
    </w:p>
    <w:p w:rsidR="00894F70" w:rsidRPr="00532158" w:rsidRDefault="00894F70" w:rsidP="00532158">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Para cumplir con los objetivos se desarrollaron las siguientes actividades:</w:t>
      </w:r>
      <w:r>
        <w:rPr>
          <w:rFonts w:ascii="Times New Roman" w:hAnsi="Times New Roman" w:cs="Times New Roman"/>
          <w:sz w:val="24"/>
          <w:szCs w:val="24"/>
        </w:rPr>
        <w:t xml:space="preserve"> </w:t>
      </w:r>
      <w:r w:rsidRPr="00532158">
        <w:rPr>
          <w:rFonts w:ascii="Times New Roman" w:hAnsi="Times New Roman" w:cs="Times New Roman"/>
          <w:sz w:val="24"/>
          <w:szCs w:val="24"/>
        </w:rPr>
        <w:t>Diseño, organización y planificación de la plataforma Uncuvirtual del ingreso</w:t>
      </w:r>
      <w:r>
        <w:rPr>
          <w:rFonts w:ascii="Times New Roman" w:hAnsi="Times New Roman" w:cs="Times New Roman"/>
          <w:sz w:val="24"/>
          <w:szCs w:val="24"/>
        </w:rPr>
        <w:t>, e</w:t>
      </w:r>
      <w:r w:rsidRPr="00532158">
        <w:rPr>
          <w:rFonts w:ascii="Times New Roman" w:hAnsi="Times New Roman" w:cs="Times New Roman"/>
          <w:sz w:val="24"/>
          <w:szCs w:val="24"/>
        </w:rPr>
        <w:t>laboración de material mediado pedagógicamente para el curso de ingreso</w:t>
      </w:r>
      <w:r>
        <w:rPr>
          <w:rFonts w:ascii="Times New Roman" w:hAnsi="Times New Roman" w:cs="Times New Roman"/>
          <w:sz w:val="24"/>
          <w:szCs w:val="24"/>
        </w:rPr>
        <w:t>, c</w:t>
      </w:r>
      <w:r w:rsidRPr="00532158">
        <w:rPr>
          <w:rFonts w:ascii="Times New Roman" w:hAnsi="Times New Roman" w:cs="Times New Roman"/>
          <w:sz w:val="24"/>
          <w:szCs w:val="24"/>
        </w:rPr>
        <w:t>oordinación permanente de los tutores tanto presencial como virtualmente</w:t>
      </w:r>
      <w:r>
        <w:rPr>
          <w:rFonts w:ascii="Times New Roman" w:hAnsi="Times New Roman" w:cs="Times New Roman"/>
          <w:sz w:val="24"/>
          <w:szCs w:val="24"/>
        </w:rPr>
        <w:t>, i</w:t>
      </w:r>
      <w:r w:rsidRPr="00532158">
        <w:rPr>
          <w:rFonts w:ascii="Times New Roman" w:hAnsi="Times New Roman" w:cs="Times New Roman"/>
          <w:sz w:val="24"/>
          <w:szCs w:val="24"/>
        </w:rPr>
        <w:t>nscripción de los aspirantes al ingreso</w:t>
      </w:r>
      <w:r>
        <w:rPr>
          <w:rFonts w:ascii="Times New Roman" w:hAnsi="Times New Roman" w:cs="Times New Roman"/>
          <w:sz w:val="24"/>
          <w:szCs w:val="24"/>
        </w:rPr>
        <w:t>, s</w:t>
      </w:r>
      <w:r w:rsidRPr="00532158">
        <w:rPr>
          <w:rFonts w:ascii="Times New Roman" w:hAnsi="Times New Roman" w:cs="Times New Roman"/>
          <w:sz w:val="24"/>
          <w:szCs w:val="24"/>
        </w:rPr>
        <w:t>eguimiento y acompañamiento de los estudiantes por parte de los tutores virtuale</w:t>
      </w:r>
      <w:r>
        <w:rPr>
          <w:rFonts w:ascii="Times New Roman" w:hAnsi="Times New Roman" w:cs="Times New Roman"/>
          <w:sz w:val="24"/>
          <w:szCs w:val="24"/>
        </w:rPr>
        <w:t>s y e</w:t>
      </w:r>
      <w:r w:rsidRPr="00532158">
        <w:rPr>
          <w:rFonts w:ascii="Times New Roman" w:hAnsi="Times New Roman" w:cs="Times New Roman"/>
          <w:sz w:val="24"/>
          <w:szCs w:val="24"/>
        </w:rPr>
        <w:t>valuación de proceso y de resultados</w:t>
      </w:r>
      <w:r>
        <w:rPr>
          <w:rFonts w:ascii="Times New Roman" w:hAnsi="Times New Roman" w:cs="Times New Roman"/>
          <w:sz w:val="24"/>
          <w:szCs w:val="24"/>
        </w:rPr>
        <w:t>.</w:t>
      </w:r>
    </w:p>
    <w:p w:rsidR="00894F70" w:rsidRPr="00682F5F" w:rsidRDefault="00894F70" w:rsidP="00381EF9">
      <w:pPr>
        <w:spacing w:before="120" w:after="240" w:line="360" w:lineRule="auto"/>
        <w:jc w:val="both"/>
        <w:rPr>
          <w:rFonts w:ascii="Times New Roman" w:hAnsi="Times New Roman" w:cs="Times New Roman"/>
          <w:i/>
          <w:iCs/>
          <w:sz w:val="24"/>
          <w:szCs w:val="24"/>
        </w:rPr>
      </w:pPr>
      <w:r w:rsidRPr="00682F5F">
        <w:rPr>
          <w:rFonts w:ascii="Times New Roman" w:hAnsi="Times New Roman" w:cs="Times New Roman"/>
          <w:sz w:val="24"/>
          <w:szCs w:val="24"/>
        </w:rPr>
        <w:t>Al finalizar el ingreso virtual, se aplicaron encuestas a los tutores y a los estudiantes para conocer sus opiniones</w:t>
      </w:r>
      <w:r>
        <w:rPr>
          <w:rFonts w:ascii="Times New Roman" w:hAnsi="Times New Roman" w:cs="Times New Roman"/>
          <w:sz w:val="24"/>
          <w:szCs w:val="24"/>
        </w:rPr>
        <w:t xml:space="preserve"> y </w:t>
      </w:r>
      <w:r w:rsidRPr="00682F5F">
        <w:rPr>
          <w:rFonts w:ascii="Times New Roman" w:hAnsi="Times New Roman" w:cs="Times New Roman"/>
          <w:sz w:val="24"/>
          <w:szCs w:val="24"/>
        </w:rPr>
        <w:t xml:space="preserve">sugerencias sobre </w:t>
      </w:r>
      <w:r>
        <w:rPr>
          <w:rFonts w:ascii="Times New Roman" w:hAnsi="Times New Roman" w:cs="Times New Roman"/>
          <w:sz w:val="24"/>
          <w:szCs w:val="24"/>
        </w:rPr>
        <w:t>esta</w:t>
      </w:r>
      <w:r w:rsidRPr="00682F5F">
        <w:rPr>
          <w:rFonts w:ascii="Times New Roman" w:hAnsi="Times New Roman" w:cs="Times New Roman"/>
          <w:sz w:val="24"/>
          <w:szCs w:val="24"/>
        </w:rPr>
        <w:t xml:space="preserve"> experiencia. Las respuestas en ambos casos fueron enriquecedoras y alentadoras. L</w:t>
      </w:r>
      <w:r>
        <w:rPr>
          <w:rFonts w:ascii="Times New Roman" w:hAnsi="Times New Roman" w:cs="Times New Roman"/>
          <w:sz w:val="24"/>
          <w:szCs w:val="24"/>
        </w:rPr>
        <w:t xml:space="preserve">a mayoría de los estudiantes valoró y agradeció </w:t>
      </w:r>
      <w:r w:rsidRPr="00682F5F">
        <w:rPr>
          <w:rFonts w:ascii="Times New Roman" w:hAnsi="Times New Roman" w:cs="Times New Roman"/>
          <w:sz w:val="24"/>
          <w:szCs w:val="24"/>
        </w:rPr>
        <w:t xml:space="preserve">la posibilidad de haber realizado esta instancia a través de la modalidad de educación a distancia. </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Con este proyecto no sólo se incrementó la igualdad de oportunidades</w:t>
      </w:r>
      <w:r>
        <w:rPr>
          <w:rFonts w:ascii="Times New Roman" w:hAnsi="Times New Roman" w:cs="Times New Roman"/>
          <w:sz w:val="24"/>
          <w:szCs w:val="24"/>
        </w:rPr>
        <w:t>,</w:t>
      </w:r>
      <w:r w:rsidRPr="00682F5F">
        <w:rPr>
          <w:rFonts w:ascii="Times New Roman" w:hAnsi="Times New Roman" w:cs="Times New Roman"/>
          <w:sz w:val="24"/>
          <w:szCs w:val="24"/>
        </w:rPr>
        <w:t xml:space="preserve"> sino que también se intentó innovar y darle lugar en nuestra facultad a la Educación a Distancia. </w:t>
      </w:r>
    </w:p>
    <w:p w:rsidR="00894F70" w:rsidRPr="00682F5F" w:rsidRDefault="00894F70" w:rsidP="00381EF9">
      <w:pPr>
        <w:spacing w:after="0" w:line="360" w:lineRule="auto"/>
        <w:jc w:val="both"/>
        <w:rPr>
          <w:rFonts w:ascii="Times New Roman" w:hAnsi="Times New Roman" w:cs="Times New Roman"/>
          <w:b/>
          <w:bCs/>
          <w:sz w:val="24"/>
          <w:szCs w:val="24"/>
        </w:rPr>
      </w:pPr>
      <w:r w:rsidRPr="00682F5F">
        <w:rPr>
          <w:rFonts w:ascii="Times New Roman" w:hAnsi="Times New Roman" w:cs="Times New Roman"/>
          <w:b/>
          <w:bCs/>
          <w:sz w:val="24"/>
          <w:szCs w:val="24"/>
        </w:rPr>
        <w:t>3. Desde la experiencia en el Servicio de Apoyo Pedagógico y Orientación al Estudiante</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w:t>
      </w:r>
      <w:r w:rsidRPr="00682F5F">
        <w:rPr>
          <w:rFonts w:ascii="Times New Roman" w:hAnsi="Times New Roman" w:cs="Times New Roman"/>
          <w:sz w:val="24"/>
          <w:szCs w:val="24"/>
        </w:rPr>
        <w:t xml:space="preserve">l accionar del Servicio adopta, por un lado, un sentido preventivo -anticipándose a las situaciones no deseadas- y por otro, un sentido de acompañamiento haciendo un aporte importante al contribuir con la resolución de problemáticas existentes o al menos reducir su impacto en las trayectorias estudiantiles mediante un sistema tutorial. </w:t>
      </w:r>
    </w:p>
    <w:p w:rsidR="00894F70" w:rsidRDefault="00894F70" w:rsidP="00936FA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La</w:t>
      </w:r>
      <w:r w:rsidRPr="00682F5F">
        <w:rPr>
          <w:rFonts w:ascii="Times New Roman" w:hAnsi="Times New Roman" w:cs="Times New Roman"/>
          <w:sz w:val="24"/>
          <w:szCs w:val="24"/>
        </w:rPr>
        <w:t xml:space="preserve">s consultas más frecuentes o dificultades que presentan los estudiantes de primer año de la Facultad de Filosofía y Letras suelen ser: </w:t>
      </w:r>
      <w:r>
        <w:rPr>
          <w:rFonts w:ascii="Times New Roman" w:hAnsi="Times New Roman" w:cs="Times New Roman"/>
          <w:sz w:val="24"/>
          <w:szCs w:val="24"/>
        </w:rPr>
        <w:t>t</w:t>
      </w:r>
      <w:r w:rsidRPr="007655BC">
        <w:rPr>
          <w:rFonts w:ascii="Times New Roman" w:hAnsi="Times New Roman" w:cs="Times New Roman"/>
          <w:sz w:val="24"/>
          <w:szCs w:val="24"/>
        </w:rPr>
        <w:t>rabajar y estudiar en forma simultánea</w:t>
      </w:r>
      <w:r>
        <w:rPr>
          <w:rFonts w:ascii="Times New Roman" w:hAnsi="Times New Roman" w:cs="Times New Roman"/>
          <w:sz w:val="24"/>
          <w:szCs w:val="24"/>
        </w:rPr>
        <w:t>, a</w:t>
      </w:r>
      <w:r w:rsidRPr="007655BC">
        <w:rPr>
          <w:rFonts w:ascii="Times New Roman" w:hAnsi="Times New Roman" w:cs="Times New Roman"/>
          <w:sz w:val="24"/>
          <w:szCs w:val="24"/>
        </w:rPr>
        <w:t>ten</w:t>
      </w:r>
      <w:r>
        <w:rPr>
          <w:rFonts w:ascii="Times New Roman" w:hAnsi="Times New Roman" w:cs="Times New Roman"/>
          <w:sz w:val="24"/>
          <w:szCs w:val="24"/>
        </w:rPr>
        <w:t>der</w:t>
      </w:r>
      <w:r w:rsidRPr="007655BC">
        <w:rPr>
          <w:rFonts w:ascii="Times New Roman" w:hAnsi="Times New Roman" w:cs="Times New Roman"/>
          <w:sz w:val="24"/>
          <w:szCs w:val="24"/>
        </w:rPr>
        <w:t xml:space="preserve"> a obligaciones familiares</w:t>
      </w:r>
      <w:r>
        <w:rPr>
          <w:rFonts w:ascii="Times New Roman" w:hAnsi="Times New Roman" w:cs="Times New Roman"/>
          <w:sz w:val="24"/>
          <w:szCs w:val="24"/>
        </w:rPr>
        <w:t>, o</w:t>
      </w:r>
      <w:r w:rsidRPr="007655BC">
        <w:rPr>
          <w:rFonts w:ascii="Times New Roman" w:hAnsi="Times New Roman" w:cs="Times New Roman"/>
          <w:sz w:val="24"/>
          <w:szCs w:val="24"/>
        </w:rPr>
        <w:t>rganización (temporal y/o espacial)</w:t>
      </w:r>
      <w:r>
        <w:rPr>
          <w:rFonts w:ascii="Times New Roman" w:hAnsi="Times New Roman" w:cs="Times New Roman"/>
          <w:sz w:val="24"/>
          <w:szCs w:val="24"/>
        </w:rPr>
        <w:t>, c</w:t>
      </w:r>
      <w:r w:rsidRPr="007655BC">
        <w:rPr>
          <w:rFonts w:ascii="Times New Roman" w:hAnsi="Times New Roman" w:cs="Times New Roman"/>
          <w:sz w:val="24"/>
          <w:szCs w:val="24"/>
        </w:rPr>
        <w:t>oncentración</w:t>
      </w:r>
      <w:r>
        <w:rPr>
          <w:rFonts w:ascii="Times New Roman" w:hAnsi="Times New Roman" w:cs="Times New Roman"/>
          <w:sz w:val="24"/>
          <w:szCs w:val="24"/>
        </w:rPr>
        <w:t>, l</w:t>
      </w:r>
      <w:r w:rsidRPr="007655BC">
        <w:rPr>
          <w:rFonts w:ascii="Times New Roman" w:hAnsi="Times New Roman" w:cs="Times New Roman"/>
          <w:sz w:val="24"/>
          <w:szCs w:val="24"/>
        </w:rPr>
        <w:t>ectura comprensiva</w:t>
      </w:r>
      <w:r>
        <w:rPr>
          <w:rFonts w:ascii="Times New Roman" w:hAnsi="Times New Roman" w:cs="Times New Roman"/>
          <w:sz w:val="24"/>
          <w:szCs w:val="24"/>
        </w:rPr>
        <w:t xml:space="preserve"> m</w:t>
      </w:r>
      <w:r w:rsidRPr="007655BC">
        <w:rPr>
          <w:rFonts w:ascii="Times New Roman" w:hAnsi="Times New Roman" w:cs="Times New Roman"/>
          <w:sz w:val="24"/>
          <w:szCs w:val="24"/>
        </w:rPr>
        <w:t>otivación/ perseverancia</w:t>
      </w:r>
      <w:r>
        <w:rPr>
          <w:rFonts w:ascii="Times New Roman" w:hAnsi="Times New Roman" w:cs="Times New Roman"/>
          <w:sz w:val="24"/>
          <w:szCs w:val="24"/>
        </w:rPr>
        <w:t xml:space="preserve"> y m</w:t>
      </w:r>
      <w:r w:rsidRPr="007655BC">
        <w:rPr>
          <w:rFonts w:ascii="Times New Roman" w:hAnsi="Times New Roman" w:cs="Times New Roman"/>
          <w:sz w:val="24"/>
          <w:szCs w:val="24"/>
        </w:rPr>
        <w:t>arcos teóricos básicos</w:t>
      </w:r>
      <w:r>
        <w:rPr>
          <w:rFonts w:ascii="Times New Roman" w:hAnsi="Times New Roman" w:cs="Times New Roman"/>
          <w:sz w:val="24"/>
          <w:szCs w:val="24"/>
        </w:rPr>
        <w:t>.</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Con respecto a la forma de trabajo en las tutorías con estos estudiantes, las mismas se realizan en función de las necesidades que </w:t>
      </w:r>
      <w:r>
        <w:rPr>
          <w:rFonts w:ascii="Times New Roman" w:hAnsi="Times New Roman" w:cs="Times New Roman"/>
          <w:sz w:val="24"/>
          <w:szCs w:val="24"/>
        </w:rPr>
        <w:t>plantean</w:t>
      </w:r>
      <w:r w:rsidRPr="00682F5F">
        <w:rPr>
          <w:rFonts w:ascii="Times New Roman" w:hAnsi="Times New Roman" w:cs="Times New Roman"/>
          <w:sz w:val="24"/>
          <w:szCs w:val="24"/>
        </w:rPr>
        <w:t>, por lo tanto, el apoyo se organiza en interacción con cada alumno o grupo pequeño de alumnos.</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En términos generales, el proceso responde a la siguiente secuencia:</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Primero, se trabaja a partir de lo que ellos mismos exponen como dificultades para estudiar (por lo general tienen que ver con la organización, la concentración y motivación). Para ello se habla sobre sus condiciones y posibilidades de estudio. </w:t>
      </w:r>
    </w:p>
    <w:p w:rsidR="00894F70" w:rsidRDefault="00894F70" w:rsidP="00936FA3">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En el caso de tener dificultades para organizar el tiempo dedicado al estudio, se </w:t>
      </w:r>
      <w:r>
        <w:rPr>
          <w:rFonts w:ascii="Times New Roman" w:hAnsi="Times New Roman" w:cs="Times New Roman"/>
          <w:sz w:val="24"/>
          <w:szCs w:val="24"/>
        </w:rPr>
        <w:t xml:space="preserve">prepara </w:t>
      </w:r>
      <w:r w:rsidRPr="00682F5F">
        <w:rPr>
          <w:rFonts w:ascii="Times New Roman" w:hAnsi="Times New Roman" w:cs="Times New Roman"/>
          <w:sz w:val="24"/>
          <w:szCs w:val="24"/>
        </w:rPr>
        <w:t>un cronog</w:t>
      </w:r>
      <w:r>
        <w:rPr>
          <w:rFonts w:ascii="Times New Roman" w:hAnsi="Times New Roman" w:cs="Times New Roman"/>
          <w:sz w:val="24"/>
          <w:szCs w:val="24"/>
        </w:rPr>
        <w:t xml:space="preserve">rama en el que se prevén </w:t>
      </w:r>
      <w:r w:rsidRPr="00682F5F">
        <w:rPr>
          <w:rFonts w:ascii="Times New Roman" w:hAnsi="Times New Roman" w:cs="Times New Roman"/>
          <w:sz w:val="24"/>
          <w:szCs w:val="24"/>
        </w:rPr>
        <w:t xml:space="preserve">los tiempos dedicados al estudio y los días en que asistirá al SAPOE para implementar ejercitación en </w:t>
      </w:r>
      <w:r>
        <w:rPr>
          <w:rFonts w:ascii="Times New Roman" w:hAnsi="Times New Roman" w:cs="Times New Roman"/>
          <w:sz w:val="24"/>
          <w:szCs w:val="24"/>
        </w:rPr>
        <w:t>e</w:t>
      </w:r>
      <w:r w:rsidRPr="00682F5F">
        <w:rPr>
          <w:rFonts w:ascii="Times New Roman" w:hAnsi="Times New Roman" w:cs="Times New Roman"/>
          <w:sz w:val="24"/>
          <w:szCs w:val="24"/>
        </w:rPr>
        <w:t>strategias de aprendizaje y mantener activa la actitud de autorregulación.</w:t>
      </w:r>
    </w:p>
    <w:p w:rsidR="00894F70" w:rsidRPr="00682F5F" w:rsidRDefault="00894F70" w:rsidP="00936FA3">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En ocasiones, durante el primer acercamiento se  plantean dificultades particulares, por ejemplo, en relación con la lectura comprensiva y/o con la falta de marcos teóricos básicos. Situaciones de ese tipo provocan una “suerte de círculo vicioso”, porque si no se entiende lo que se lee, es difícil la concentración y la percepción de aprendizaje efectivo. Por otra parte disminuye </w:t>
      </w:r>
      <w:r>
        <w:rPr>
          <w:rFonts w:ascii="Times New Roman" w:hAnsi="Times New Roman" w:cs="Times New Roman"/>
          <w:sz w:val="24"/>
          <w:szCs w:val="24"/>
        </w:rPr>
        <w:t>la</w:t>
      </w:r>
      <w:r w:rsidRPr="00682F5F">
        <w:rPr>
          <w:rFonts w:ascii="Times New Roman" w:hAnsi="Times New Roman" w:cs="Times New Roman"/>
          <w:sz w:val="24"/>
          <w:szCs w:val="24"/>
        </w:rPr>
        <w:t xml:space="preserve"> motivación, lo que repercute en la reducción de </w:t>
      </w:r>
      <w:r>
        <w:rPr>
          <w:rFonts w:ascii="Times New Roman" w:hAnsi="Times New Roman" w:cs="Times New Roman"/>
          <w:sz w:val="24"/>
          <w:szCs w:val="24"/>
        </w:rPr>
        <w:t xml:space="preserve">la </w:t>
      </w:r>
      <w:r w:rsidRPr="00682F5F">
        <w:rPr>
          <w:rFonts w:ascii="Times New Roman" w:hAnsi="Times New Roman" w:cs="Times New Roman"/>
          <w:sz w:val="24"/>
          <w:szCs w:val="24"/>
        </w:rPr>
        <w:t>energía que se invierte en el estudio. En estos casos, se ejercita la lectura comprensiva y</w:t>
      </w:r>
      <w:r>
        <w:rPr>
          <w:rFonts w:ascii="Times New Roman" w:hAnsi="Times New Roman" w:cs="Times New Roman"/>
          <w:sz w:val="24"/>
          <w:szCs w:val="24"/>
        </w:rPr>
        <w:t>,</w:t>
      </w:r>
      <w:r w:rsidRPr="00682F5F">
        <w:rPr>
          <w:rFonts w:ascii="Times New Roman" w:hAnsi="Times New Roman" w:cs="Times New Roman"/>
          <w:sz w:val="24"/>
          <w:szCs w:val="24"/>
        </w:rPr>
        <w:t xml:space="preserve"> si la </w:t>
      </w:r>
      <w:r>
        <w:rPr>
          <w:rFonts w:ascii="Times New Roman" w:hAnsi="Times New Roman" w:cs="Times New Roman"/>
          <w:sz w:val="24"/>
          <w:szCs w:val="24"/>
        </w:rPr>
        <w:t xml:space="preserve">carrera </w:t>
      </w:r>
      <w:r w:rsidRPr="00682F5F">
        <w:rPr>
          <w:rFonts w:ascii="Times New Roman" w:hAnsi="Times New Roman" w:cs="Times New Roman"/>
          <w:sz w:val="24"/>
          <w:szCs w:val="24"/>
        </w:rPr>
        <w:t xml:space="preserve">del estudiante es la misma, o afín a la del tutor, se </w:t>
      </w:r>
      <w:r>
        <w:rPr>
          <w:rFonts w:ascii="Times New Roman" w:hAnsi="Times New Roman" w:cs="Times New Roman"/>
          <w:sz w:val="24"/>
          <w:szCs w:val="24"/>
        </w:rPr>
        <w:t xml:space="preserve">aportan elementos </w:t>
      </w:r>
      <w:r w:rsidRPr="00682F5F">
        <w:rPr>
          <w:rFonts w:ascii="Times New Roman" w:hAnsi="Times New Roman" w:cs="Times New Roman"/>
          <w:sz w:val="24"/>
          <w:szCs w:val="24"/>
        </w:rPr>
        <w:t xml:space="preserve">teóricos </w:t>
      </w:r>
      <w:r>
        <w:rPr>
          <w:rFonts w:ascii="Times New Roman" w:hAnsi="Times New Roman" w:cs="Times New Roman"/>
          <w:sz w:val="24"/>
          <w:szCs w:val="24"/>
        </w:rPr>
        <w:t xml:space="preserve">que favorecen la </w:t>
      </w:r>
      <w:r w:rsidRPr="00682F5F">
        <w:rPr>
          <w:rFonts w:ascii="Times New Roman" w:hAnsi="Times New Roman" w:cs="Times New Roman"/>
          <w:sz w:val="24"/>
          <w:szCs w:val="24"/>
        </w:rPr>
        <w:t>comprensión</w:t>
      </w:r>
      <w:r>
        <w:rPr>
          <w:rFonts w:ascii="Times New Roman" w:hAnsi="Times New Roman" w:cs="Times New Roman"/>
          <w:sz w:val="24"/>
          <w:szCs w:val="24"/>
        </w:rPr>
        <w:t xml:space="preserve"> del mensaje</w:t>
      </w:r>
      <w:r w:rsidRPr="00682F5F">
        <w:rPr>
          <w:rFonts w:ascii="Times New Roman" w:hAnsi="Times New Roman" w:cs="Times New Roman"/>
          <w:sz w:val="24"/>
          <w:szCs w:val="24"/>
        </w:rPr>
        <w:t xml:space="preserve"> (esto suele darse en más de un encuentro).</w:t>
      </w:r>
    </w:p>
    <w:p w:rsidR="00894F70" w:rsidRPr="00682F5F"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Mediante estas tutorías, generalmente, se llegan a los siguientes resultados: en la mayoría de los casos, los estudiantes mejoran los procesos y adquieren nuevas herramientas eficaces para el estudio, lo que incide en que aprueban materias que adeudan, clarifican dudas vocacionales, fortalecen su autoconcepto académico y autoestima, encuentran una vía para contactar servicios de Salud Estudiantil y Acción Social de la Universidad.</w:t>
      </w:r>
    </w:p>
    <w:p w:rsidR="00894F70" w:rsidRPr="00682F5F" w:rsidRDefault="00894F70" w:rsidP="00381EF9">
      <w:pPr>
        <w:spacing w:after="0" w:line="360" w:lineRule="auto"/>
        <w:jc w:val="both"/>
        <w:rPr>
          <w:rFonts w:ascii="Times New Roman" w:hAnsi="Times New Roman" w:cs="Times New Roman"/>
          <w:sz w:val="24"/>
          <w:szCs w:val="24"/>
        </w:rPr>
      </w:pPr>
    </w:p>
    <w:p w:rsidR="00894F70" w:rsidRPr="00682F5F"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 xml:space="preserve">De todas formas la mejora queda condicionada por la actitud del estudiante con respecto al esfuerzo que requiere el estudiar para aprender y por la continuidad en la asistencia a los encuentros tutoriales. Los contenidos procedimentales son centrales en la tutoría, lo que hace necesario realizar un proceso continuo y planificado. </w:t>
      </w:r>
    </w:p>
    <w:p w:rsidR="00894F70" w:rsidRDefault="00894F70" w:rsidP="00381EF9">
      <w:pPr>
        <w:spacing w:after="0" w:line="360" w:lineRule="auto"/>
        <w:jc w:val="both"/>
        <w:rPr>
          <w:rFonts w:ascii="Times New Roman" w:hAnsi="Times New Roman" w:cs="Times New Roman"/>
          <w:sz w:val="24"/>
          <w:szCs w:val="24"/>
        </w:rPr>
      </w:pPr>
    </w:p>
    <w:p w:rsidR="00894F70" w:rsidRDefault="00894F70" w:rsidP="00381EF9">
      <w:pPr>
        <w:spacing w:after="0" w:line="360" w:lineRule="auto"/>
        <w:jc w:val="both"/>
        <w:rPr>
          <w:rFonts w:ascii="Times New Roman" w:hAnsi="Times New Roman" w:cs="Times New Roman"/>
          <w:sz w:val="24"/>
          <w:szCs w:val="24"/>
        </w:rPr>
      </w:pPr>
      <w:r w:rsidRPr="00682F5F">
        <w:rPr>
          <w:rFonts w:ascii="Times New Roman" w:hAnsi="Times New Roman" w:cs="Times New Roman"/>
          <w:sz w:val="24"/>
          <w:szCs w:val="24"/>
        </w:rPr>
        <w:t>Durante la práctica de los procesos cognitivos para el procesamiento de la información, se promueven estrategias metacognitivas que favorecen la autorregulación de la propia conducta como aprendiz. Por esta vía se prioriza el desarrollo de la autonomía y se evita la dependencia.</w:t>
      </w:r>
    </w:p>
    <w:p w:rsidR="00894F70" w:rsidRPr="00D940EB" w:rsidRDefault="00894F70" w:rsidP="00D940EB">
      <w:pPr>
        <w:rPr>
          <w:rFonts w:ascii="Times New Roman" w:hAnsi="Times New Roman" w:cs="Times New Roman"/>
          <w:sz w:val="24"/>
          <w:szCs w:val="24"/>
        </w:rPr>
      </w:pPr>
      <w:r>
        <w:rPr>
          <w:rFonts w:ascii="Times New Roman" w:hAnsi="Times New Roman" w:cs="Times New Roman"/>
          <w:sz w:val="24"/>
          <w:szCs w:val="24"/>
        </w:rPr>
        <w:br w:type="page"/>
      </w:r>
      <w:r w:rsidRPr="00682F5F">
        <w:rPr>
          <w:rFonts w:ascii="Times New Roman" w:hAnsi="Times New Roman" w:cs="Times New Roman"/>
          <w:b/>
          <w:bCs/>
          <w:sz w:val="24"/>
          <w:szCs w:val="24"/>
        </w:rPr>
        <w:t>4. Desde la investigación sobre Aprendizaje en Educación Superior (SeCTyP 2013-2015).</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Tenemos presente que en el desempeño académico de un estudiante converge un sinnúmero de factores. Entre ellos, priorizamos aquellos que está a nuestro alcance analizar, con el propósito de constituirlos en núcleos para formalizar orientaciones de sentido preventivo.</w:t>
      </w:r>
    </w:p>
    <w:p w:rsidR="00894F70" w:rsidRDefault="00894F70" w:rsidP="00381EF9">
      <w:pPr>
        <w:spacing w:before="120" w:after="240" w:line="360" w:lineRule="auto"/>
        <w:jc w:val="both"/>
        <w:rPr>
          <w:rFonts w:ascii="Times New Roman" w:hAnsi="Times New Roman" w:cs="Times New Roman"/>
          <w:sz w:val="24"/>
          <w:szCs w:val="24"/>
          <w:lang w:eastAsia="es-AR"/>
        </w:rPr>
      </w:pPr>
      <w:r w:rsidRPr="00682F5F">
        <w:rPr>
          <w:rFonts w:ascii="Times New Roman" w:hAnsi="Times New Roman" w:cs="Times New Roman"/>
          <w:sz w:val="24"/>
          <w:szCs w:val="24"/>
        </w:rPr>
        <w:t>La información procede de investigaciones sobre el Apren</w:t>
      </w:r>
      <w:r>
        <w:rPr>
          <w:rFonts w:ascii="Times New Roman" w:hAnsi="Times New Roman" w:cs="Times New Roman"/>
          <w:sz w:val="24"/>
          <w:szCs w:val="24"/>
        </w:rPr>
        <w:t xml:space="preserve">dizaje en la universidad, en el </w:t>
      </w:r>
      <w:r w:rsidRPr="00682F5F">
        <w:rPr>
          <w:rFonts w:ascii="Times New Roman" w:hAnsi="Times New Roman" w:cs="Times New Roman"/>
          <w:sz w:val="24"/>
          <w:szCs w:val="24"/>
        </w:rPr>
        <w:t>marco de proyectos de la Secretaría de Ciencia, Técnica y Posgrado de la UNCuyo (Morchio, dir., 2007-2009; 2009-2011; 2011-2013 y 2013-2015 y 2016-2018). El objetivo general es identificar aspectos que inciden en el aprender en la universidad y llegar a planteos operativos para orientar a quien aprende y al mediador de sus procesos.</w:t>
      </w:r>
      <w:r>
        <w:rPr>
          <w:rFonts w:ascii="Times New Roman" w:hAnsi="Times New Roman" w:cs="Times New Roman"/>
          <w:sz w:val="24"/>
          <w:szCs w:val="24"/>
        </w:rPr>
        <w:t xml:space="preserve"> </w:t>
      </w:r>
      <w:r w:rsidRPr="00682F5F">
        <w:rPr>
          <w:rFonts w:ascii="Times New Roman" w:hAnsi="Times New Roman" w:cs="Times New Roman"/>
          <w:sz w:val="24"/>
          <w:szCs w:val="24"/>
          <w:lang w:eastAsia="es-AR"/>
        </w:rPr>
        <w:t>Partir de la información que aporta el alumno sobre el aprender en la práctica y en el contexto de su carrera es un insumo clave para comprender a qué distancia se encuentra de los desafíos que la universidad le plantea.</w:t>
      </w:r>
    </w:p>
    <w:p w:rsidR="00894F70"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En la siguiente tabla se muestran algunos resultados referidos a los procesos que realiza quien aprende</w:t>
      </w:r>
      <w:r w:rsidRPr="00682F5F">
        <w:rPr>
          <w:rStyle w:val="FootnoteReference"/>
          <w:rFonts w:ascii="Times New Roman" w:hAnsi="Times New Roman" w:cs="Times New Roman"/>
          <w:sz w:val="24"/>
          <w:szCs w:val="24"/>
        </w:rPr>
        <w:footnoteReference w:id="1"/>
      </w:r>
      <w:r w:rsidRPr="00682F5F">
        <w:rPr>
          <w:rFonts w:ascii="Times New Roman" w:hAnsi="Times New Roman" w:cs="Times New Roman"/>
          <w:sz w:val="24"/>
          <w:szCs w:val="24"/>
        </w:rPr>
        <w:t xml:space="preserve">, según su Autopercepción de competencia </w:t>
      </w:r>
      <w:r>
        <w:rPr>
          <w:rFonts w:ascii="Times New Roman" w:hAnsi="Times New Roman" w:cs="Times New Roman"/>
          <w:sz w:val="24"/>
          <w:szCs w:val="24"/>
        </w:rPr>
        <w:t>para aprender</w:t>
      </w:r>
      <w:r w:rsidRPr="00682F5F">
        <w:rPr>
          <w:rFonts w:ascii="Times New Roman" w:hAnsi="Times New Roman" w:cs="Times New Roman"/>
          <w:sz w:val="24"/>
          <w:szCs w:val="24"/>
        </w:rPr>
        <w:t xml:space="preserve">. </w:t>
      </w:r>
    </w:p>
    <w:tbl>
      <w:tblPr>
        <w:tblpPr w:leftFromText="141" w:rightFromText="141" w:vertAnchor="page" w:horzAnchor="margin" w:tblpXSpec="center" w:tblpY="83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77"/>
        <w:gridCol w:w="1418"/>
        <w:gridCol w:w="1276"/>
        <w:gridCol w:w="2283"/>
      </w:tblGrid>
      <w:tr w:rsidR="00894F70" w:rsidRPr="00152AEC">
        <w:tc>
          <w:tcPr>
            <w:tcW w:w="4077" w:type="dxa"/>
          </w:tcPr>
          <w:p w:rsidR="00894F70" w:rsidRPr="00152AEC" w:rsidRDefault="00894F70" w:rsidP="00152AEC">
            <w:pPr>
              <w:spacing w:after="0" w:line="240" w:lineRule="auto"/>
              <w:rPr>
                <w:rFonts w:ascii="Times New Roman" w:hAnsi="Times New Roman" w:cs="Times New Roman"/>
              </w:rPr>
            </w:pPr>
          </w:p>
        </w:tc>
        <w:tc>
          <w:tcPr>
            <w:tcW w:w="4977" w:type="dxa"/>
            <w:gridSpan w:val="3"/>
          </w:tcPr>
          <w:p w:rsidR="00894F70" w:rsidRPr="00152AEC" w:rsidRDefault="00894F70" w:rsidP="00152AEC">
            <w:pPr>
              <w:spacing w:after="0" w:line="240" w:lineRule="auto"/>
              <w:jc w:val="center"/>
              <w:rPr>
                <w:rFonts w:ascii="Times New Roman" w:hAnsi="Times New Roman" w:cs="Times New Roman"/>
              </w:rPr>
            </w:pPr>
            <w:r w:rsidRPr="00152AEC">
              <w:rPr>
                <w:rFonts w:ascii="Times New Roman" w:hAnsi="Times New Roman" w:cs="Times New Roman"/>
              </w:rPr>
              <w:t>Según  autopercepción</w:t>
            </w:r>
            <w:r w:rsidRPr="00152AEC">
              <w:rPr>
                <w:rFonts w:ascii="Times New Roman" w:hAnsi="Times New Roman" w:cs="Times New Roman"/>
                <w:vertAlign w:val="superscript"/>
              </w:rPr>
              <w:footnoteReference w:id="2"/>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rPr>
            </w:pP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Aprende fácilmente</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 xml:space="preserve">Aprende con dificultad </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Chi cuadrado</w:t>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color w:val="000000"/>
                <w:lang w:eastAsia="es-AR"/>
              </w:rPr>
            </w:pPr>
            <w:r w:rsidRPr="00152AEC">
              <w:rPr>
                <w:rFonts w:ascii="Times New Roman" w:hAnsi="Times New Roman" w:cs="Times New Roman"/>
                <w:i/>
                <w:iCs/>
              </w:rPr>
              <w:t>Me concentro por períodos muy breves</w:t>
            </w:r>
            <w:r w:rsidRPr="00152AEC">
              <w:rPr>
                <w:rFonts w:ascii="Times New Roman" w:hAnsi="Times New Roman" w:cs="Times New Roman"/>
              </w:rPr>
              <w:t>.</w:t>
            </w: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49% falso</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24%  falso</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(X</w:t>
            </w:r>
            <w:r w:rsidRPr="00152AEC">
              <w:rPr>
                <w:rFonts w:ascii="Times New Roman" w:hAnsi="Times New Roman" w:cs="Times New Roman"/>
                <w:vertAlign w:val="superscript"/>
              </w:rPr>
              <w:t>2</w:t>
            </w:r>
            <w:r w:rsidRPr="00152AEC">
              <w:rPr>
                <w:rFonts w:ascii="Times New Roman" w:hAnsi="Times New Roman" w:cs="Times New Roman"/>
              </w:rPr>
              <w:t xml:space="preserve"> = 38,289; p = 0,000) </w:t>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i/>
                <w:iCs/>
              </w:rPr>
              <w:t>Me cuesta comprender lo que leo</w:t>
            </w:r>
            <w:r w:rsidRPr="00152AEC">
              <w:rPr>
                <w:rFonts w:ascii="Times New Roman" w:hAnsi="Times New Roman" w:cs="Times New Roman"/>
              </w:rPr>
              <w:t>.</w:t>
            </w: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69% falso</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35%  falso</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(X</w:t>
            </w:r>
            <w:r w:rsidRPr="00152AEC">
              <w:rPr>
                <w:rFonts w:ascii="Times New Roman" w:hAnsi="Times New Roman" w:cs="Times New Roman"/>
                <w:vertAlign w:val="superscript"/>
              </w:rPr>
              <w:t>2</w:t>
            </w:r>
            <w:r w:rsidRPr="00152AEC">
              <w:rPr>
                <w:rFonts w:ascii="Times New Roman" w:hAnsi="Times New Roman" w:cs="Times New Roman"/>
              </w:rPr>
              <w:t xml:space="preserve"> = 55,399; p = 0,000)</w:t>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i/>
                <w:iCs/>
              </w:rPr>
              <w:t>En los exámenes, me cuesta entender lo que me preguntan</w:t>
            </w:r>
            <w:r w:rsidRPr="00152AEC">
              <w:rPr>
                <w:rFonts w:ascii="Times New Roman" w:hAnsi="Times New Roman" w:cs="Times New Roman"/>
              </w:rPr>
              <w:t>.</w:t>
            </w: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76% falso</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53% falso</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 X</w:t>
            </w:r>
            <w:r w:rsidRPr="00152AEC">
              <w:rPr>
                <w:rFonts w:ascii="Times New Roman" w:hAnsi="Times New Roman" w:cs="Times New Roman"/>
                <w:vertAlign w:val="superscript"/>
              </w:rPr>
              <w:t>2</w:t>
            </w:r>
            <w:r w:rsidRPr="00152AEC">
              <w:rPr>
                <w:rFonts w:ascii="Times New Roman" w:hAnsi="Times New Roman" w:cs="Times New Roman"/>
              </w:rPr>
              <w:t xml:space="preserve"> = 29,454; p = 0,000)</w:t>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i/>
                <w:iCs/>
              </w:rPr>
              <w:t>Me cuesta distinguir las ideas principales</w:t>
            </w:r>
            <w:r w:rsidRPr="00152AEC">
              <w:rPr>
                <w:rFonts w:ascii="Times New Roman" w:hAnsi="Times New Roman" w:cs="Times New Roman"/>
              </w:rPr>
              <w:t>.</w:t>
            </w: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74% falso</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10% falso</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(X</w:t>
            </w:r>
            <w:r w:rsidRPr="00152AEC">
              <w:rPr>
                <w:rFonts w:ascii="Times New Roman" w:hAnsi="Times New Roman" w:cs="Times New Roman"/>
                <w:vertAlign w:val="superscript"/>
              </w:rPr>
              <w:t>2</w:t>
            </w:r>
            <w:r w:rsidRPr="00152AEC">
              <w:rPr>
                <w:rFonts w:ascii="Times New Roman" w:hAnsi="Times New Roman" w:cs="Times New Roman"/>
              </w:rPr>
              <w:t xml:space="preserve"> = 31,332; p = 0,000)</w:t>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i/>
                <w:iCs/>
              </w:rPr>
              <w:t>Me cuesta retener y recordar lo que estudio</w:t>
            </w:r>
            <w:r w:rsidRPr="00152AEC">
              <w:rPr>
                <w:rFonts w:ascii="Times New Roman" w:hAnsi="Times New Roman" w:cs="Times New Roman"/>
              </w:rPr>
              <w:t>.</w:t>
            </w: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70,5%  falso</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5,5% falso</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(X</w:t>
            </w:r>
            <w:r w:rsidRPr="00152AEC">
              <w:rPr>
                <w:rFonts w:ascii="Times New Roman" w:hAnsi="Times New Roman" w:cs="Times New Roman"/>
                <w:vertAlign w:val="superscript"/>
              </w:rPr>
              <w:t>2</w:t>
            </w:r>
            <w:r w:rsidRPr="00152AEC">
              <w:rPr>
                <w:rFonts w:ascii="Times New Roman" w:hAnsi="Times New Roman" w:cs="Times New Roman"/>
              </w:rPr>
              <w:t xml:space="preserve"> = 79,042; p = 0,000)</w:t>
            </w:r>
          </w:p>
        </w:tc>
      </w:tr>
      <w:tr w:rsidR="00894F70" w:rsidRPr="00152AEC">
        <w:tc>
          <w:tcPr>
            <w:tcW w:w="4077"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i/>
                <w:iCs/>
              </w:rPr>
              <w:t>Me cuesta expresar lo que he estudiado</w:t>
            </w:r>
            <w:r w:rsidRPr="00152AEC">
              <w:rPr>
                <w:rFonts w:ascii="Times New Roman" w:hAnsi="Times New Roman" w:cs="Times New Roman"/>
              </w:rPr>
              <w:t>.</w:t>
            </w:r>
          </w:p>
        </w:tc>
        <w:tc>
          <w:tcPr>
            <w:tcW w:w="1418"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67%  falso</w:t>
            </w:r>
          </w:p>
        </w:tc>
        <w:tc>
          <w:tcPr>
            <w:tcW w:w="1276"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12%, falso</w:t>
            </w:r>
          </w:p>
        </w:tc>
        <w:tc>
          <w:tcPr>
            <w:tcW w:w="2283" w:type="dxa"/>
          </w:tcPr>
          <w:p w:rsidR="00894F70" w:rsidRPr="00152AEC" w:rsidRDefault="00894F70" w:rsidP="00152AEC">
            <w:pPr>
              <w:spacing w:after="0" w:line="240" w:lineRule="auto"/>
              <w:rPr>
                <w:rFonts w:ascii="Times New Roman" w:hAnsi="Times New Roman" w:cs="Times New Roman"/>
              </w:rPr>
            </w:pPr>
            <w:r w:rsidRPr="00152AEC">
              <w:rPr>
                <w:rFonts w:ascii="Times New Roman" w:hAnsi="Times New Roman" w:cs="Times New Roman"/>
              </w:rPr>
              <w:t>(X</w:t>
            </w:r>
            <w:r w:rsidRPr="00152AEC">
              <w:rPr>
                <w:rFonts w:ascii="Times New Roman" w:hAnsi="Times New Roman" w:cs="Times New Roman"/>
                <w:vertAlign w:val="superscript"/>
              </w:rPr>
              <w:t>2</w:t>
            </w:r>
            <w:r w:rsidRPr="00152AEC">
              <w:rPr>
                <w:rFonts w:ascii="Times New Roman" w:hAnsi="Times New Roman" w:cs="Times New Roman"/>
              </w:rPr>
              <w:t xml:space="preserve"> = 17,750; p = 0,000</w:t>
            </w:r>
          </w:p>
        </w:tc>
      </w:tr>
    </w:tbl>
    <w:p w:rsidR="00894F70" w:rsidRDefault="00894F70" w:rsidP="00381EF9">
      <w:pPr>
        <w:spacing w:before="120" w:after="240" w:line="360" w:lineRule="auto"/>
        <w:jc w:val="both"/>
        <w:rPr>
          <w:rFonts w:ascii="Times New Roman" w:hAnsi="Times New Roman" w:cs="Times New Roman"/>
          <w:sz w:val="24"/>
          <w:szCs w:val="24"/>
        </w:rPr>
      </w:pPr>
    </w:p>
    <w:p w:rsidR="00894F70" w:rsidRDefault="00894F70" w:rsidP="00381EF9">
      <w:pPr>
        <w:spacing w:before="120" w:after="240" w:line="360" w:lineRule="auto"/>
        <w:jc w:val="both"/>
        <w:rPr>
          <w:rFonts w:ascii="Times New Roman" w:hAnsi="Times New Roman" w:cs="Times New Roman"/>
          <w:sz w:val="24"/>
          <w:szCs w:val="24"/>
        </w:rPr>
      </w:pPr>
    </w:p>
    <w:p w:rsidR="00894F70" w:rsidRDefault="00894F70" w:rsidP="00381EF9">
      <w:pPr>
        <w:spacing w:before="120" w:after="240" w:line="360" w:lineRule="auto"/>
        <w:jc w:val="both"/>
        <w:rPr>
          <w:rFonts w:ascii="Times New Roman" w:hAnsi="Times New Roman" w:cs="Times New Roman"/>
          <w:sz w:val="24"/>
          <w:szCs w:val="24"/>
        </w:rPr>
      </w:pPr>
    </w:p>
    <w:p w:rsidR="00894F70"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b/>
          <w:bCs/>
          <w:sz w:val="24"/>
          <w:szCs w:val="24"/>
        </w:rPr>
        <w:t>Discusión y propuestas</w:t>
      </w:r>
    </w:p>
    <w:p w:rsidR="00894F70" w:rsidRPr="00682F5F" w:rsidRDefault="00894F70" w:rsidP="00381EF9">
      <w:pPr>
        <w:spacing w:before="120" w:after="240" w:line="360" w:lineRule="auto"/>
        <w:jc w:val="both"/>
        <w:rPr>
          <w:rFonts w:ascii="Times New Roman" w:hAnsi="Times New Roman" w:cs="Times New Roman"/>
          <w:sz w:val="24"/>
          <w:szCs w:val="24"/>
          <w:lang w:val="es-ES" w:eastAsia="es-ES"/>
        </w:rPr>
      </w:pPr>
      <w:r w:rsidRPr="00682F5F">
        <w:rPr>
          <w:rFonts w:ascii="Times New Roman" w:hAnsi="Times New Roman" w:cs="Times New Roman"/>
          <w:sz w:val="24"/>
          <w:szCs w:val="24"/>
        </w:rPr>
        <w:t xml:space="preserve">En primer lugar, </w:t>
      </w:r>
      <w:r>
        <w:rPr>
          <w:rFonts w:ascii="Times New Roman" w:hAnsi="Times New Roman" w:cs="Times New Roman"/>
          <w:sz w:val="24"/>
          <w:szCs w:val="24"/>
        </w:rPr>
        <w:t xml:space="preserve">es necesario señalar que </w:t>
      </w:r>
      <w:r w:rsidRPr="00682F5F">
        <w:rPr>
          <w:rFonts w:ascii="Times New Roman" w:hAnsi="Times New Roman" w:cs="Times New Roman"/>
          <w:sz w:val="24"/>
          <w:szCs w:val="24"/>
          <w:lang w:val="es-ES" w:eastAsia="es-ES"/>
        </w:rPr>
        <w:t>el curso de ingreso aporta</w:t>
      </w:r>
      <w:r>
        <w:rPr>
          <w:rFonts w:ascii="Times New Roman" w:hAnsi="Times New Roman" w:cs="Times New Roman"/>
          <w:sz w:val="24"/>
          <w:szCs w:val="24"/>
          <w:lang w:val="es-ES" w:eastAsia="es-ES"/>
        </w:rPr>
        <w:t xml:space="preserve"> recursos diseñados para tender </w:t>
      </w:r>
      <w:r w:rsidRPr="00682F5F">
        <w:rPr>
          <w:rFonts w:ascii="Times New Roman" w:hAnsi="Times New Roman" w:cs="Times New Roman"/>
          <w:sz w:val="24"/>
          <w:szCs w:val="24"/>
          <w:lang w:val="es-ES" w:eastAsia="es-ES"/>
        </w:rPr>
        <w:t xml:space="preserve">puentes entre las condiciones de base de quien se inscribe y las expectativas de la universidad. </w:t>
      </w:r>
    </w:p>
    <w:p w:rsidR="00894F70" w:rsidRPr="00682F5F" w:rsidRDefault="00894F70" w:rsidP="00381EF9">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lang w:val="es-ES" w:eastAsia="es-ES"/>
        </w:rPr>
        <w:t xml:space="preserve">Al respecto, si bien las acciones </w:t>
      </w:r>
      <w:r w:rsidRPr="00682F5F">
        <w:rPr>
          <w:rFonts w:ascii="Times New Roman" w:hAnsi="Times New Roman" w:cs="Times New Roman"/>
          <w:sz w:val="24"/>
          <w:szCs w:val="24"/>
        </w:rPr>
        <w:t xml:space="preserve">dirigidas a los estudiantes son insustituibles por su  contribución al desarrollo de habilidades básicas para el procesamiento de la información, a la comprensión de “cómo funciona la vida del estudiante universitario” y a la incorporación a un contexto de nuevas prácticas y relaciones sociales, </w:t>
      </w:r>
      <w:r w:rsidRPr="00682F5F">
        <w:rPr>
          <w:rFonts w:ascii="Times New Roman" w:hAnsi="Times New Roman" w:cs="Times New Roman"/>
          <w:sz w:val="24"/>
          <w:szCs w:val="24"/>
          <w:lang w:val="es-ES" w:eastAsia="es-ES"/>
        </w:rPr>
        <w:t xml:space="preserve">estos </w:t>
      </w:r>
      <w:r>
        <w:rPr>
          <w:rFonts w:ascii="Times New Roman" w:hAnsi="Times New Roman" w:cs="Times New Roman"/>
          <w:sz w:val="24"/>
          <w:szCs w:val="24"/>
          <w:lang w:val="es-ES" w:eastAsia="es-ES"/>
        </w:rPr>
        <w:t xml:space="preserve">insumos </w:t>
      </w:r>
      <w:r w:rsidRPr="00682F5F">
        <w:rPr>
          <w:rFonts w:ascii="Times New Roman" w:hAnsi="Times New Roman" w:cs="Times New Roman"/>
          <w:sz w:val="24"/>
          <w:szCs w:val="24"/>
          <w:lang w:val="es-ES" w:eastAsia="es-ES"/>
        </w:rPr>
        <w:t>resultan muy generales</w:t>
      </w:r>
      <w:r>
        <w:rPr>
          <w:rFonts w:ascii="Times New Roman" w:hAnsi="Times New Roman" w:cs="Times New Roman"/>
          <w:sz w:val="24"/>
          <w:szCs w:val="24"/>
          <w:lang w:val="es-ES" w:eastAsia="es-ES"/>
        </w:rPr>
        <w:t xml:space="preserve">; </w:t>
      </w:r>
      <w:r w:rsidRPr="00682F5F">
        <w:rPr>
          <w:rFonts w:ascii="Times New Roman" w:hAnsi="Times New Roman" w:cs="Times New Roman"/>
          <w:sz w:val="24"/>
          <w:szCs w:val="24"/>
          <w:lang w:val="es-ES" w:eastAsia="es-ES"/>
        </w:rPr>
        <w:t>no son suficientes para aprender en primer año contenidos abundantes</w:t>
      </w:r>
      <w:r>
        <w:rPr>
          <w:rFonts w:ascii="Times New Roman" w:hAnsi="Times New Roman" w:cs="Times New Roman"/>
          <w:sz w:val="24"/>
          <w:szCs w:val="24"/>
          <w:lang w:val="es-ES" w:eastAsia="es-ES"/>
        </w:rPr>
        <w:t xml:space="preserve"> y </w:t>
      </w:r>
      <w:r w:rsidRPr="00682F5F">
        <w:rPr>
          <w:rFonts w:ascii="Times New Roman" w:hAnsi="Times New Roman" w:cs="Times New Roman"/>
          <w:sz w:val="24"/>
          <w:szCs w:val="24"/>
          <w:lang w:val="es-ES" w:eastAsia="es-ES"/>
        </w:rPr>
        <w:t>con alto grado de abstracción</w:t>
      </w:r>
      <w:r>
        <w:rPr>
          <w:rFonts w:ascii="Times New Roman" w:hAnsi="Times New Roman" w:cs="Times New Roman"/>
          <w:sz w:val="24"/>
          <w:szCs w:val="24"/>
          <w:lang w:val="es-ES" w:eastAsia="es-ES"/>
        </w:rPr>
        <w:t xml:space="preserve">, de un modo que permita responder a </w:t>
      </w:r>
      <w:r w:rsidRPr="00682F5F">
        <w:rPr>
          <w:rFonts w:ascii="Times New Roman" w:hAnsi="Times New Roman" w:cs="Times New Roman"/>
          <w:sz w:val="24"/>
          <w:szCs w:val="24"/>
          <w:lang w:val="es-ES" w:eastAsia="es-ES"/>
        </w:rPr>
        <w:t>los requerimientos de las cátedras.</w:t>
      </w:r>
    </w:p>
    <w:p w:rsidR="00894F70" w:rsidRDefault="00894F70" w:rsidP="006C7C1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lang w:eastAsia="es-ES"/>
        </w:rPr>
        <w:t>Una estrategia p</w:t>
      </w:r>
      <w:r w:rsidRPr="00682F5F">
        <w:rPr>
          <w:rFonts w:ascii="Times New Roman" w:hAnsi="Times New Roman" w:cs="Times New Roman"/>
          <w:sz w:val="24"/>
          <w:szCs w:val="24"/>
          <w:lang w:eastAsia="es-ES"/>
        </w:rPr>
        <w:t xml:space="preserve">ara darle un </w:t>
      </w:r>
      <w:r>
        <w:rPr>
          <w:rFonts w:ascii="Times New Roman" w:hAnsi="Times New Roman" w:cs="Times New Roman"/>
          <w:sz w:val="24"/>
          <w:szCs w:val="24"/>
          <w:lang w:eastAsia="es-ES"/>
        </w:rPr>
        <w:t xml:space="preserve">giro </w:t>
      </w:r>
      <w:r w:rsidRPr="00682F5F">
        <w:rPr>
          <w:rFonts w:ascii="Times New Roman" w:hAnsi="Times New Roman" w:cs="Times New Roman"/>
          <w:sz w:val="24"/>
          <w:szCs w:val="24"/>
          <w:lang w:eastAsia="es-ES"/>
        </w:rPr>
        <w:t xml:space="preserve">a la situación, </w:t>
      </w:r>
      <w:r>
        <w:rPr>
          <w:rFonts w:ascii="Times New Roman" w:hAnsi="Times New Roman" w:cs="Times New Roman"/>
          <w:sz w:val="24"/>
          <w:szCs w:val="24"/>
          <w:lang w:eastAsia="es-ES"/>
        </w:rPr>
        <w:t xml:space="preserve">puede ser articular la instancia de ingreso con el inicio en la carrera, lo que supone una acción coordinada con </w:t>
      </w:r>
      <w:r w:rsidRPr="00682F5F">
        <w:rPr>
          <w:rFonts w:ascii="Times New Roman" w:hAnsi="Times New Roman" w:cs="Times New Roman"/>
          <w:sz w:val="24"/>
          <w:szCs w:val="24"/>
        </w:rPr>
        <w:t xml:space="preserve">los docentes de primer año. </w:t>
      </w:r>
      <w:r>
        <w:rPr>
          <w:rFonts w:ascii="Times New Roman" w:hAnsi="Times New Roman" w:cs="Times New Roman"/>
          <w:sz w:val="24"/>
          <w:szCs w:val="24"/>
        </w:rPr>
        <w:t xml:space="preserve">El propósito sería, </w:t>
      </w:r>
      <w:r w:rsidRPr="006C7C1B">
        <w:rPr>
          <w:rFonts w:ascii="Times New Roman" w:hAnsi="Times New Roman" w:cs="Times New Roman"/>
          <w:i/>
          <w:iCs/>
          <w:sz w:val="24"/>
          <w:szCs w:val="24"/>
        </w:rPr>
        <w:t>graduar la dificultad</w:t>
      </w:r>
      <w:r w:rsidRPr="00682F5F">
        <w:rPr>
          <w:rFonts w:ascii="Times New Roman" w:hAnsi="Times New Roman" w:cs="Times New Roman"/>
          <w:sz w:val="24"/>
          <w:szCs w:val="24"/>
        </w:rPr>
        <w:t>. En las materias de 1° año</w:t>
      </w:r>
      <w:r>
        <w:rPr>
          <w:rFonts w:ascii="Times New Roman" w:hAnsi="Times New Roman" w:cs="Times New Roman"/>
          <w:sz w:val="24"/>
          <w:szCs w:val="24"/>
        </w:rPr>
        <w:t>,</w:t>
      </w:r>
      <w:r w:rsidRPr="00682F5F">
        <w:rPr>
          <w:rFonts w:ascii="Times New Roman" w:hAnsi="Times New Roman" w:cs="Times New Roman"/>
          <w:sz w:val="24"/>
          <w:szCs w:val="24"/>
        </w:rPr>
        <w:t xml:space="preserve"> </w:t>
      </w:r>
      <w:r>
        <w:rPr>
          <w:rFonts w:ascii="Times New Roman" w:hAnsi="Times New Roman" w:cs="Times New Roman"/>
          <w:sz w:val="24"/>
          <w:szCs w:val="24"/>
        </w:rPr>
        <w:t xml:space="preserve">no siempre se tiene en cuenta que algunos estudiantes </w:t>
      </w:r>
      <w:r w:rsidRPr="00682F5F">
        <w:rPr>
          <w:rFonts w:ascii="Times New Roman" w:hAnsi="Times New Roman" w:cs="Times New Roman"/>
          <w:sz w:val="24"/>
          <w:szCs w:val="24"/>
        </w:rPr>
        <w:t>tiene</w:t>
      </w:r>
      <w:r>
        <w:rPr>
          <w:rFonts w:ascii="Times New Roman" w:hAnsi="Times New Roman" w:cs="Times New Roman"/>
          <w:sz w:val="24"/>
          <w:szCs w:val="24"/>
        </w:rPr>
        <w:t>n</w:t>
      </w:r>
      <w:r w:rsidRPr="00682F5F">
        <w:rPr>
          <w:rFonts w:ascii="Times New Roman" w:hAnsi="Times New Roman" w:cs="Times New Roman"/>
          <w:sz w:val="24"/>
          <w:szCs w:val="24"/>
        </w:rPr>
        <w:t xml:space="preserve"> dificultad para comprender el vocabulario de los textos que lee</w:t>
      </w:r>
      <w:r>
        <w:rPr>
          <w:rFonts w:ascii="Times New Roman" w:hAnsi="Times New Roman" w:cs="Times New Roman"/>
          <w:sz w:val="24"/>
          <w:szCs w:val="24"/>
        </w:rPr>
        <w:t xml:space="preserve">n. Es un aspecto relevante por cuanto </w:t>
      </w:r>
      <w:r w:rsidRPr="00682F5F">
        <w:rPr>
          <w:rFonts w:ascii="Times New Roman" w:hAnsi="Times New Roman" w:cs="Times New Roman"/>
          <w:sz w:val="24"/>
          <w:szCs w:val="24"/>
        </w:rPr>
        <w:t xml:space="preserve">una </w:t>
      </w:r>
      <w:r>
        <w:rPr>
          <w:rFonts w:ascii="Times New Roman" w:hAnsi="Times New Roman" w:cs="Times New Roman"/>
          <w:sz w:val="24"/>
          <w:szCs w:val="24"/>
        </w:rPr>
        <w:t xml:space="preserve">de las condiciones </w:t>
      </w:r>
      <w:r w:rsidRPr="00682F5F">
        <w:rPr>
          <w:rFonts w:ascii="Times New Roman" w:hAnsi="Times New Roman" w:cs="Times New Roman"/>
          <w:sz w:val="24"/>
          <w:szCs w:val="24"/>
        </w:rPr>
        <w:t xml:space="preserve">para </w:t>
      </w:r>
      <w:r>
        <w:rPr>
          <w:rFonts w:ascii="Times New Roman" w:hAnsi="Times New Roman" w:cs="Times New Roman"/>
          <w:sz w:val="24"/>
          <w:szCs w:val="24"/>
        </w:rPr>
        <w:t xml:space="preserve">lograr el </w:t>
      </w:r>
      <w:r w:rsidRPr="00682F5F">
        <w:rPr>
          <w:rFonts w:ascii="Times New Roman" w:hAnsi="Times New Roman" w:cs="Times New Roman"/>
          <w:sz w:val="24"/>
          <w:szCs w:val="24"/>
        </w:rPr>
        <w:t xml:space="preserve">aprendizaje significativo es </w:t>
      </w:r>
      <w:r>
        <w:rPr>
          <w:rFonts w:ascii="Times New Roman" w:hAnsi="Times New Roman" w:cs="Times New Roman"/>
          <w:sz w:val="24"/>
          <w:szCs w:val="24"/>
        </w:rPr>
        <w:t xml:space="preserve">que el material tenga </w:t>
      </w:r>
      <w:r w:rsidRPr="00682F5F">
        <w:rPr>
          <w:rFonts w:ascii="Times New Roman" w:hAnsi="Times New Roman" w:cs="Times New Roman"/>
          <w:sz w:val="24"/>
          <w:szCs w:val="24"/>
        </w:rPr>
        <w:t>significatividad lógica y psicológica</w:t>
      </w:r>
      <w:r>
        <w:rPr>
          <w:rFonts w:ascii="Times New Roman" w:hAnsi="Times New Roman" w:cs="Times New Roman"/>
          <w:sz w:val="24"/>
          <w:szCs w:val="24"/>
        </w:rPr>
        <w:t xml:space="preserve"> (que sea acorde con las ideas de anclaje de que dispone el estudiante) (</w:t>
      </w:r>
      <w:r w:rsidRPr="00682F5F">
        <w:rPr>
          <w:rFonts w:ascii="Times New Roman" w:hAnsi="Times New Roman" w:cs="Times New Roman"/>
          <w:sz w:val="24"/>
          <w:szCs w:val="24"/>
        </w:rPr>
        <w:t>Ausubel</w:t>
      </w:r>
      <w:r>
        <w:rPr>
          <w:rFonts w:ascii="Times New Roman" w:hAnsi="Times New Roman" w:cs="Times New Roman"/>
          <w:sz w:val="24"/>
          <w:szCs w:val="24"/>
        </w:rPr>
        <w:t xml:space="preserve">, </w:t>
      </w:r>
      <w:r w:rsidRPr="00682F5F">
        <w:rPr>
          <w:rFonts w:ascii="Times New Roman" w:hAnsi="Times New Roman" w:cs="Times New Roman"/>
          <w:sz w:val="24"/>
          <w:szCs w:val="24"/>
        </w:rPr>
        <w:t>1989)</w:t>
      </w:r>
      <w:r>
        <w:rPr>
          <w:rFonts w:ascii="Times New Roman" w:hAnsi="Times New Roman" w:cs="Times New Roman"/>
          <w:sz w:val="24"/>
          <w:szCs w:val="24"/>
        </w:rPr>
        <w:t>.</w:t>
      </w:r>
    </w:p>
    <w:p w:rsidR="00894F70" w:rsidRDefault="00894F70" w:rsidP="006C7C1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Una vía para llevarlo a la práctica puede ser la implementación de </w:t>
      </w:r>
      <w:r w:rsidRPr="00682F5F">
        <w:rPr>
          <w:rFonts w:ascii="Times New Roman" w:hAnsi="Times New Roman" w:cs="Times New Roman"/>
          <w:sz w:val="24"/>
          <w:szCs w:val="24"/>
        </w:rPr>
        <w:t xml:space="preserve">apoyos tutoriales por integrantes de las mismas cátedras con el propósito de </w:t>
      </w:r>
      <w:r w:rsidRPr="006C7C1B">
        <w:rPr>
          <w:rFonts w:ascii="Times New Roman" w:hAnsi="Times New Roman" w:cs="Times New Roman"/>
          <w:i/>
          <w:iCs/>
          <w:sz w:val="24"/>
          <w:szCs w:val="24"/>
        </w:rPr>
        <w:t>enseñar a aprender esa materia</w:t>
      </w:r>
      <w:r w:rsidRPr="00682F5F">
        <w:rPr>
          <w:rFonts w:ascii="Times New Roman" w:hAnsi="Times New Roman" w:cs="Times New Roman"/>
          <w:sz w:val="24"/>
          <w:szCs w:val="24"/>
        </w:rPr>
        <w:t xml:space="preserve">, </w:t>
      </w:r>
      <w:r w:rsidRPr="006C7C1B">
        <w:rPr>
          <w:rFonts w:ascii="Times New Roman" w:hAnsi="Times New Roman" w:cs="Times New Roman"/>
          <w:i/>
          <w:iCs/>
          <w:sz w:val="24"/>
          <w:szCs w:val="24"/>
        </w:rPr>
        <w:t>a esa altura de la trayectoria formativa, teniendo en cuenta los conocimientos previos (terminología, conceptualizaciones y procedimientos básicos</w:t>
      </w:r>
      <w:r>
        <w:rPr>
          <w:rFonts w:ascii="Times New Roman" w:hAnsi="Times New Roman" w:cs="Times New Roman"/>
          <w:i/>
          <w:iCs/>
          <w:sz w:val="24"/>
          <w:szCs w:val="24"/>
        </w:rPr>
        <w:t>)</w:t>
      </w:r>
      <w:r w:rsidRPr="006C7C1B">
        <w:rPr>
          <w:rFonts w:ascii="Times New Roman" w:hAnsi="Times New Roman" w:cs="Times New Roman"/>
          <w:i/>
          <w:iCs/>
          <w:sz w:val="24"/>
          <w:szCs w:val="24"/>
        </w:rPr>
        <w:t>.</w:t>
      </w:r>
      <w:r>
        <w:rPr>
          <w:rFonts w:ascii="Times New Roman" w:hAnsi="Times New Roman" w:cs="Times New Roman"/>
          <w:sz w:val="24"/>
          <w:szCs w:val="24"/>
        </w:rPr>
        <w:t xml:space="preserve"> Hacemos alusión al </w:t>
      </w:r>
      <w:r w:rsidRPr="00682F5F">
        <w:rPr>
          <w:rFonts w:ascii="Times New Roman" w:hAnsi="Times New Roman" w:cs="Times New Roman"/>
          <w:sz w:val="24"/>
          <w:szCs w:val="24"/>
        </w:rPr>
        <w:t>andamiaje (Bruner) a través del modelado social del docente (Bandura)</w:t>
      </w:r>
      <w:r>
        <w:rPr>
          <w:rFonts w:ascii="Times New Roman" w:hAnsi="Times New Roman" w:cs="Times New Roman"/>
          <w:sz w:val="24"/>
          <w:szCs w:val="24"/>
        </w:rPr>
        <w:t xml:space="preserve">, lo que en la práctica lleva, por ejemplo, a </w:t>
      </w:r>
      <w:r w:rsidRPr="00682F5F">
        <w:rPr>
          <w:rFonts w:ascii="Times New Roman" w:hAnsi="Times New Roman" w:cs="Times New Roman"/>
          <w:sz w:val="24"/>
          <w:szCs w:val="24"/>
        </w:rPr>
        <w:t>identificar los núcleos organizadores de cada tema y su relación con el todo de la asignatura</w:t>
      </w:r>
      <w:r>
        <w:rPr>
          <w:rFonts w:ascii="Times New Roman" w:hAnsi="Times New Roman" w:cs="Times New Roman"/>
          <w:sz w:val="24"/>
          <w:szCs w:val="24"/>
        </w:rPr>
        <w:t>, a</w:t>
      </w:r>
      <w:r w:rsidRPr="00682F5F">
        <w:rPr>
          <w:rFonts w:ascii="Times New Roman" w:hAnsi="Times New Roman" w:cs="Times New Roman"/>
          <w:sz w:val="24"/>
          <w:szCs w:val="24"/>
        </w:rPr>
        <w:t xml:space="preserve"> destacar el sentido potencial de lo que se aprende, </w:t>
      </w:r>
      <w:r>
        <w:rPr>
          <w:rFonts w:ascii="Times New Roman" w:hAnsi="Times New Roman" w:cs="Times New Roman"/>
          <w:sz w:val="24"/>
          <w:szCs w:val="24"/>
        </w:rPr>
        <w:t>a</w:t>
      </w:r>
      <w:r w:rsidRPr="00682F5F">
        <w:rPr>
          <w:rFonts w:ascii="Times New Roman" w:hAnsi="Times New Roman" w:cs="Times New Roman"/>
          <w:sz w:val="24"/>
          <w:szCs w:val="24"/>
        </w:rPr>
        <w:t xml:space="preserve"> </w:t>
      </w:r>
      <w:r>
        <w:rPr>
          <w:rFonts w:ascii="Times New Roman" w:hAnsi="Times New Roman" w:cs="Times New Roman"/>
          <w:sz w:val="24"/>
          <w:szCs w:val="24"/>
        </w:rPr>
        <w:t>vincularlo con</w:t>
      </w:r>
      <w:r w:rsidRPr="00682F5F">
        <w:rPr>
          <w:rFonts w:ascii="Times New Roman" w:hAnsi="Times New Roman" w:cs="Times New Roman"/>
          <w:sz w:val="24"/>
          <w:szCs w:val="24"/>
        </w:rPr>
        <w:t xml:space="preserve"> futuro ejercicio profesional.</w:t>
      </w:r>
    </w:p>
    <w:p w:rsidR="00894F70" w:rsidRPr="00F14492" w:rsidRDefault="00894F70" w:rsidP="006C7C1B">
      <w:pPr>
        <w:spacing w:before="120" w:after="240" w:line="360" w:lineRule="auto"/>
        <w:jc w:val="both"/>
        <w:rPr>
          <w:rFonts w:ascii="Times New Roman" w:hAnsi="Times New Roman" w:cs="Times New Roman"/>
          <w:sz w:val="24"/>
          <w:szCs w:val="24"/>
        </w:rPr>
      </w:pPr>
      <w:r w:rsidRPr="00682F5F">
        <w:rPr>
          <w:rFonts w:ascii="Times New Roman" w:hAnsi="Times New Roman" w:cs="Times New Roman"/>
          <w:sz w:val="24"/>
          <w:szCs w:val="24"/>
        </w:rPr>
        <w:t>Llevar al aula problemáticas de la vida real vinculadas con el contenido de aprendizaje a fin de analizarlas, discutirlas y animar al estudiante a proponer ideas innovadoras, que contribuyan a que se proyecte en roles, espacios y actividades de la profesión.</w:t>
      </w:r>
    </w:p>
    <w:p w:rsidR="00894F70" w:rsidRPr="00F14492" w:rsidRDefault="00894F70" w:rsidP="00F14492">
      <w:pPr>
        <w:pStyle w:val="ListParagraph"/>
        <w:spacing w:before="120" w:after="240" w:line="360" w:lineRule="auto"/>
        <w:ind w:left="0"/>
        <w:jc w:val="both"/>
        <w:rPr>
          <w:rFonts w:ascii="Times New Roman" w:hAnsi="Times New Roman" w:cs="Times New Roman"/>
          <w:sz w:val="24"/>
          <w:szCs w:val="24"/>
        </w:rPr>
      </w:pPr>
      <w:r>
        <w:rPr>
          <w:rFonts w:ascii="Times New Roman" w:hAnsi="Times New Roman" w:cs="Times New Roman"/>
          <w:sz w:val="24"/>
          <w:szCs w:val="24"/>
        </w:rPr>
        <w:t>Tenemos presente la necesidad de contar con</w:t>
      </w:r>
      <w:r w:rsidRPr="00682F5F">
        <w:rPr>
          <w:rFonts w:ascii="Times New Roman" w:hAnsi="Times New Roman" w:cs="Times New Roman"/>
          <w:sz w:val="24"/>
          <w:szCs w:val="24"/>
        </w:rPr>
        <w:t xml:space="preserve"> la actitud activa y favorable del estudiante, como </w:t>
      </w:r>
      <w:r>
        <w:rPr>
          <w:rFonts w:ascii="Times New Roman" w:hAnsi="Times New Roman" w:cs="Times New Roman"/>
          <w:sz w:val="24"/>
          <w:szCs w:val="24"/>
        </w:rPr>
        <w:t xml:space="preserve">otra </w:t>
      </w:r>
      <w:r w:rsidRPr="00682F5F">
        <w:rPr>
          <w:rFonts w:ascii="Times New Roman" w:hAnsi="Times New Roman" w:cs="Times New Roman"/>
          <w:sz w:val="24"/>
          <w:szCs w:val="24"/>
        </w:rPr>
        <w:t>de las condiciones</w:t>
      </w:r>
      <w:r>
        <w:rPr>
          <w:rFonts w:ascii="Times New Roman" w:hAnsi="Times New Roman" w:cs="Times New Roman"/>
          <w:sz w:val="24"/>
          <w:szCs w:val="24"/>
        </w:rPr>
        <w:t xml:space="preserve"> </w:t>
      </w:r>
      <w:r w:rsidRPr="00682F5F">
        <w:rPr>
          <w:rFonts w:ascii="Times New Roman" w:hAnsi="Times New Roman" w:cs="Times New Roman"/>
          <w:sz w:val="24"/>
          <w:szCs w:val="24"/>
        </w:rPr>
        <w:t>del aprendizaje significativo</w:t>
      </w:r>
      <w:r>
        <w:rPr>
          <w:rFonts w:ascii="Times New Roman" w:hAnsi="Times New Roman" w:cs="Times New Roman"/>
          <w:sz w:val="24"/>
          <w:szCs w:val="24"/>
        </w:rPr>
        <w:t xml:space="preserve"> </w:t>
      </w:r>
      <w:r w:rsidRPr="00682F5F">
        <w:rPr>
          <w:rFonts w:ascii="Times New Roman" w:hAnsi="Times New Roman" w:cs="Times New Roman"/>
          <w:sz w:val="24"/>
          <w:szCs w:val="24"/>
        </w:rPr>
        <w:t>y del desarrollo de un aprendizaje autorregulado</w:t>
      </w:r>
      <w:r>
        <w:rPr>
          <w:rFonts w:ascii="Times New Roman" w:hAnsi="Times New Roman" w:cs="Times New Roman"/>
          <w:sz w:val="24"/>
          <w:szCs w:val="24"/>
        </w:rPr>
        <w:t xml:space="preserve">. Al respecto, pensamos </w:t>
      </w:r>
      <w:r w:rsidRPr="00F14492">
        <w:rPr>
          <w:rFonts w:ascii="Times New Roman" w:hAnsi="Times New Roman" w:cs="Times New Roman"/>
          <w:sz w:val="24"/>
          <w:szCs w:val="24"/>
        </w:rPr>
        <w:t xml:space="preserve">en un estudiante que aprende a aprender en la universidad. Esto supone, que toma conciencia de las propias fortalezas y dificultades en procura de un comportamiento estratégico. </w:t>
      </w:r>
    </w:p>
    <w:p w:rsidR="00894F70" w:rsidRPr="00682F5F" w:rsidRDefault="00894F70" w:rsidP="00381EF9">
      <w:pPr>
        <w:spacing w:before="120" w:after="240" w:line="360" w:lineRule="auto"/>
        <w:jc w:val="both"/>
        <w:rPr>
          <w:rFonts w:ascii="Times New Roman" w:hAnsi="Times New Roman" w:cs="Times New Roman"/>
          <w:b/>
          <w:bCs/>
          <w:sz w:val="24"/>
          <w:szCs w:val="24"/>
        </w:rPr>
      </w:pPr>
      <w:r w:rsidRPr="00682F5F">
        <w:rPr>
          <w:rFonts w:ascii="Times New Roman" w:hAnsi="Times New Roman" w:cs="Times New Roman"/>
          <w:b/>
          <w:bCs/>
          <w:sz w:val="24"/>
          <w:szCs w:val="24"/>
        </w:rPr>
        <w:t>Referencias Bibliográficas</w:t>
      </w:r>
    </w:p>
    <w:p w:rsidR="00894F70" w:rsidRDefault="00894F70" w:rsidP="00D940EB">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Ausubel, D., Novak, J. y Hanesian, H. (1989). </w:t>
      </w:r>
      <w:r w:rsidRPr="00524043">
        <w:rPr>
          <w:rFonts w:ascii="Times New Roman" w:hAnsi="Times New Roman" w:cs="Times New Roman"/>
          <w:i/>
          <w:iCs/>
          <w:sz w:val="24"/>
          <w:szCs w:val="24"/>
        </w:rPr>
        <w:t>Psicología Cognitiva. Un punto de vista cognoscitivo</w:t>
      </w:r>
      <w:r w:rsidRPr="00524043">
        <w:rPr>
          <w:rFonts w:ascii="Times New Roman" w:hAnsi="Times New Roman" w:cs="Times New Roman"/>
          <w:sz w:val="24"/>
          <w:szCs w:val="24"/>
        </w:rPr>
        <w:t xml:space="preserve"> (2° ed.). México: Trillas.</w:t>
      </w:r>
    </w:p>
    <w:p w:rsidR="00894F70" w:rsidRPr="00524043" w:rsidRDefault="00894F70" w:rsidP="00D940EB">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Bandura, A. (1982). </w:t>
      </w:r>
      <w:r w:rsidRPr="00524043">
        <w:rPr>
          <w:rFonts w:ascii="Times New Roman" w:hAnsi="Times New Roman" w:cs="Times New Roman"/>
          <w:i/>
          <w:iCs/>
          <w:sz w:val="24"/>
          <w:szCs w:val="24"/>
        </w:rPr>
        <w:t>Teoría del Aprendizaje Social</w:t>
      </w:r>
      <w:r w:rsidRPr="00524043">
        <w:rPr>
          <w:rFonts w:ascii="Times New Roman" w:hAnsi="Times New Roman" w:cs="Times New Roman"/>
          <w:sz w:val="24"/>
          <w:szCs w:val="24"/>
        </w:rPr>
        <w:t>. Madrid: Espasa Calpe.</w:t>
      </w:r>
    </w:p>
    <w:p w:rsidR="00894F70" w:rsidRPr="00524043" w:rsidRDefault="00894F70" w:rsidP="00D940EB">
      <w:pPr>
        <w:pStyle w:val="ListParagraph"/>
        <w:numPr>
          <w:ilvl w:val="0"/>
          <w:numId w:val="6"/>
        </w:numPr>
        <w:tabs>
          <w:tab w:val="left" w:pos="0"/>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Bruner, J. (1995). </w:t>
      </w:r>
      <w:r w:rsidRPr="00524043">
        <w:rPr>
          <w:rFonts w:ascii="Times New Roman" w:hAnsi="Times New Roman" w:cs="Times New Roman"/>
          <w:i/>
          <w:iCs/>
          <w:sz w:val="24"/>
          <w:szCs w:val="24"/>
        </w:rPr>
        <w:t>Desarrollo cognitivo y educación</w:t>
      </w:r>
      <w:r w:rsidRPr="00524043">
        <w:rPr>
          <w:rFonts w:ascii="Times New Roman" w:hAnsi="Times New Roman" w:cs="Times New Roman"/>
          <w:sz w:val="24"/>
          <w:szCs w:val="24"/>
        </w:rPr>
        <w:t xml:space="preserve">. Madrid: Morata. </w:t>
      </w:r>
    </w:p>
    <w:p w:rsidR="00894F70" w:rsidRDefault="00894F70" w:rsidP="00D940EB">
      <w:pPr>
        <w:pStyle w:val="ListParagraph"/>
        <w:numPr>
          <w:ilvl w:val="0"/>
          <w:numId w:val="6"/>
        </w:numPr>
        <w:tabs>
          <w:tab w:val="left" w:pos="0"/>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Cambours de Donini, A. M., Iglesias, A. I. y Muiños de Britos, S. M. (s/f). La tutoría en la universidad: una estrategia para la retención de los estudiantes </w:t>
      </w:r>
      <w:r w:rsidRPr="00A66968">
        <w:rPr>
          <w:rFonts w:ascii="Times New Roman" w:hAnsi="Times New Roman" w:cs="Times New Roman"/>
          <w:sz w:val="24"/>
          <w:szCs w:val="24"/>
        </w:rPr>
        <w:t>(</w:t>
      </w:r>
      <w:hyperlink r:id="rId7" w:history="1">
        <w:r w:rsidRPr="00A66968">
          <w:t>www.alfaguia.org/www-alfa/images/.../22_DoniniA_LaTutoria.pdf</w:t>
        </w:r>
      </w:hyperlink>
      <w:r w:rsidRPr="00A66968">
        <w:rPr>
          <w:rFonts w:ascii="Times New Roman" w:hAnsi="Times New Roman" w:cs="Times New Roman"/>
          <w:sz w:val="24"/>
          <w:szCs w:val="24"/>
        </w:rPr>
        <w:t>).</w:t>
      </w:r>
    </w:p>
    <w:p w:rsidR="00894F70" w:rsidRPr="00A66968" w:rsidRDefault="00894F70" w:rsidP="00D940EB">
      <w:pPr>
        <w:pStyle w:val="ListParagraph"/>
        <w:numPr>
          <w:ilvl w:val="0"/>
          <w:numId w:val="6"/>
        </w:numPr>
        <w:spacing w:before="120" w:after="240" w:line="360" w:lineRule="auto"/>
        <w:jc w:val="both"/>
        <w:rPr>
          <w:rFonts w:ascii="Times New Roman" w:hAnsi="Times New Roman" w:cs="Times New Roman"/>
          <w:sz w:val="24"/>
          <w:szCs w:val="24"/>
        </w:rPr>
      </w:pPr>
      <w:r w:rsidRPr="00A66968">
        <w:rPr>
          <w:rFonts w:ascii="Times New Roman" w:hAnsi="Times New Roman" w:cs="Times New Roman"/>
          <w:sz w:val="24"/>
          <w:szCs w:val="24"/>
        </w:rPr>
        <w:t xml:space="preserve">Carlino, P. (2013). Alfabetización Académica diez años después. </w:t>
      </w:r>
      <w:r w:rsidRPr="00A66968">
        <w:rPr>
          <w:rFonts w:ascii="Times New Roman" w:hAnsi="Times New Roman" w:cs="Times New Roman"/>
          <w:i/>
          <w:iCs/>
          <w:sz w:val="24"/>
          <w:szCs w:val="24"/>
        </w:rPr>
        <w:t>Revista Mexicana de Investigación Educativa, 18</w:t>
      </w:r>
      <w:r>
        <w:rPr>
          <w:rFonts w:ascii="Times New Roman" w:hAnsi="Times New Roman" w:cs="Times New Roman"/>
          <w:sz w:val="24"/>
          <w:szCs w:val="24"/>
        </w:rPr>
        <w:t>(</w:t>
      </w:r>
      <w:r w:rsidRPr="00A66968">
        <w:rPr>
          <w:rFonts w:ascii="Times New Roman" w:hAnsi="Times New Roman" w:cs="Times New Roman"/>
          <w:sz w:val="24"/>
          <w:szCs w:val="24"/>
        </w:rPr>
        <w:t>57</w:t>
      </w:r>
      <w:r>
        <w:rPr>
          <w:rFonts w:ascii="Times New Roman" w:hAnsi="Times New Roman" w:cs="Times New Roman"/>
          <w:sz w:val="24"/>
          <w:szCs w:val="24"/>
        </w:rPr>
        <w:t>)</w:t>
      </w:r>
      <w:r w:rsidRPr="00A66968">
        <w:rPr>
          <w:rFonts w:ascii="Times New Roman" w:hAnsi="Times New Roman" w:cs="Times New Roman"/>
          <w:sz w:val="24"/>
          <w:szCs w:val="24"/>
        </w:rPr>
        <w:t>, pp. 355-381. Emerald, pp. 19-31.</w:t>
      </w:r>
    </w:p>
    <w:p w:rsidR="00894F70" w:rsidRPr="00BA321E" w:rsidRDefault="00894F70" w:rsidP="00D940EB">
      <w:pPr>
        <w:pStyle w:val="ListParagraph"/>
        <w:numPr>
          <w:ilvl w:val="0"/>
          <w:numId w:val="6"/>
        </w:numPr>
        <w:spacing w:after="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Carlino, P. (2006). </w:t>
      </w:r>
      <w:r w:rsidRPr="00524043">
        <w:rPr>
          <w:rFonts w:ascii="Times New Roman" w:hAnsi="Times New Roman" w:cs="Times New Roman"/>
          <w:i/>
          <w:iCs/>
          <w:sz w:val="24"/>
          <w:szCs w:val="24"/>
        </w:rPr>
        <w:t>Escribir, leer y aprender en la universidad. Una introducción a la alfabetización académica</w:t>
      </w:r>
      <w:r w:rsidRPr="00524043">
        <w:rPr>
          <w:rFonts w:ascii="Times New Roman" w:hAnsi="Times New Roman" w:cs="Times New Roman"/>
          <w:sz w:val="24"/>
          <w:szCs w:val="24"/>
        </w:rPr>
        <w:t xml:space="preserve">. Buenos Aires: Fondo de Cultura Económica. </w:t>
      </w:r>
    </w:p>
    <w:p w:rsidR="00894F70" w:rsidRDefault="00894F70" w:rsidP="00D940EB">
      <w:pPr>
        <w:pStyle w:val="ListParagraph"/>
        <w:numPr>
          <w:ilvl w:val="0"/>
          <w:numId w:val="6"/>
        </w:numPr>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Ezcurra, A.M. (2011). </w:t>
      </w:r>
      <w:r w:rsidRPr="00524043">
        <w:rPr>
          <w:rFonts w:ascii="Times New Roman" w:hAnsi="Times New Roman" w:cs="Times New Roman"/>
          <w:i/>
          <w:iCs/>
          <w:sz w:val="24"/>
          <w:szCs w:val="24"/>
        </w:rPr>
        <w:t xml:space="preserve">Igualdad en educación superior. Un desafío Mundial. </w:t>
      </w:r>
      <w:r w:rsidRPr="00524043">
        <w:rPr>
          <w:rFonts w:ascii="Times New Roman" w:hAnsi="Times New Roman" w:cs="Times New Roman"/>
          <w:sz w:val="24"/>
          <w:szCs w:val="24"/>
        </w:rPr>
        <w:t>Buenos Aires, IEC.</w:t>
      </w:r>
      <w:r>
        <w:rPr>
          <w:rFonts w:ascii="Times New Roman" w:hAnsi="Times New Roman" w:cs="Times New Roman"/>
          <w:sz w:val="24"/>
          <w:szCs w:val="24"/>
        </w:rPr>
        <w:t>-</w:t>
      </w:r>
    </w:p>
    <w:p w:rsidR="00894F70" w:rsidRDefault="00894F70" w:rsidP="00D940EB">
      <w:pPr>
        <w:pStyle w:val="ListParagraph"/>
        <w:numPr>
          <w:ilvl w:val="0"/>
          <w:numId w:val="6"/>
        </w:numPr>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Morchio, I.L. (coord.) (2015). </w:t>
      </w:r>
      <w:r w:rsidRPr="00524043">
        <w:rPr>
          <w:rFonts w:ascii="Times New Roman" w:hAnsi="Times New Roman" w:cs="Times New Roman"/>
          <w:i/>
          <w:iCs/>
          <w:sz w:val="24"/>
          <w:szCs w:val="24"/>
        </w:rPr>
        <w:t>Aprender a aprender como meta de la Educación Superior. Desde la comprensión de cómo aprende el alumno universitario a la promoción del aprendizaje autorregulado.</w:t>
      </w:r>
      <w:r>
        <w:rPr>
          <w:rFonts w:ascii="Times New Roman" w:hAnsi="Times New Roman" w:cs="Times New Roman"/>
          <w:i/>
          <w:iCs/>
          <w:sz w:val="24"/>
          <w:szCs w:val="24"/>
        </w:rPr>
        <w:t xml:space="preserve"> </w:t>
      </w:r>
      <w:r w:rsidRPr="00524043">
        <w:rPr>
          <w:rFonts w:ascii="Times New Roman" w:hAnsi="Times New Roman" w:cs="Times New Roman"/>
          <w:sz w:val="24"/>
          <w:szCs w:val="24"/>
        </w:rPr>
        <w:t>Buenos Aires: Teseo.</w:t>
      </w:r>
    </w:p>
    <w:p w:rsidR="00894F70" w:rsidRPr="00524043" w:rsidRDefault="00894F70" w:rsidP="00D940EB">
      <w:pPr>
        <w:pStyle w:val="ListParagraph"/>
        <w:numPr>
          <w:ilvl w:val="0"/>
          <w:numId w:val="6"/>
        </w:num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Morchio, I.L.</w:t>
      </w:r>
      <w:r w:rsidRPr="00A66968">
        <w:rPr>
          <w:rFonts w:ascii="Times New Roman" w:hAnsi="Times New Roman" w:cs="Times New Roman"/>
          <w:sz w:val="24"/>
          <w:szCs w:val="24"/>
        </w:rPr>
        <w:t>, (dir). Proyectos bienales, avalados y financiados por la SeCTyP de la UNCuyo (Autor dir., 20007-2009, 2009-2011, 2011-2013, 2013-2015), cód</w:t>
      </w:r>
      <w:r>
        <w:rPr>
          <w:rFonts w:ascii="Times New Roman" w:hAnsi="Times New Roman" w:cs="Times New Roman"/>
          <w:sz w:val="24"/>
          <w:szCs w:val="24"/>
        </w:rPr>
        <w:t xml:space="preserve">igos: 06/G443, 06/G524, 06/G602 </w:t>
      </w:r>
      <w:r w:rsidRPr="00A66968">
        <w:rPr>
          <w:rFonts w:ascii="Times New Roman" w:hAnsi="Times New Roman" w:cs="Times New Roman"/>
          <w:sz w:val="24"/>
          <w:szCs w:val="24"/>
        </w:rPr>
        <w:t>y 06/G684, respectivamente</w:t>
      </w:r>
      <w:r w:rsidRPr="00342C6C">
        <w:rPr>
          <w:rFonts w:ascii="Arial" w:hAnsi="Arial" w:cs="Arial"/>
          <w:sz w:val="24"/>
          <w:szCs w:val="24"/>
        </w:rPr>
        <w:t xml:space="preserve"> </w:t>
      </w:r>
      <w:r w:rsidRPr="00A66968">
        <w:rPr>
          <w:rFonts w:ascii="Times New Roman" w:hAnsi="Times New Roman" w:cs="Times New Roman"/>
          <w:sz w:val="24"/>
          <w:szCs w:val="24"/>
        </w:rPr>
        <w:t>(</w:t>
      </w:r>
      <w:hyperlink r:id="rId8" w:history="1">
        <w:r w:rsidRPr="00A66968">
          <w:rPr>
            <w:rStyle w:val="Hyperlink"/>
            <w:rFonts w:ascii="Times New Roman" w:hAnsi="Times New Roman" w:cs="Times New Roman"/>
            <w:sz w:val="24"/>
            <w:szCs w:val="24"/>
          </w:rPr>
          <w:t>www.uncu.edu.ar/documentacion-catalogo-proyecto</w:t>
        </w:r>
      </w:hyperlink>
      <w:r w:rsidRPr="00A66968">
        <w:rPr>
          <w:rStyle w:val="Hyperlink"/>
          <w:rFonts w:ascii="Times New Roman" w:hAnsi="Times New Roman" w:cs="Times New Roman"/>
          <w:sz w:val="24"/>
          <w:szCs w:val="24"/>
        </w:rPr>
        <w:t>s</w:t>
      </w:r>
      <w:r w:rsidRPr="00A66968">
        <w:rPr>
          <w:rFonts w:ascii="Times New Roman" w:hAnsi="Times New Roman" w:cs="Times New Roman"/>
          <w:sz w:val="24"/>
          <w:szCs w:val="24"/>
        </w:rPr>
        <w:t>).</w:t>
      </w:r>
      <w:r w:rsidRPr="00342C6C">
        <w:rPr>
          <w:rFonts w:ascii="Arial" w:hAnsi="Arial" w:cs="Arial"/>
          <w:snapToGrid w:val="0"/>
          <w:sz w:val="24"/>
          <w:szCs w:val="24"/>
        </w:rPr>
        <w:t xml:space="preserve">  </w:t>
      </w:r>
    </w:p>
    <w:p w:rsidR="00894F70" w:rsidRPr="00524043" w:rsidRDefault="00894F70" w:rsidP="00D940EB">
      <w:pPr>
        <w:pStyle w:val="ListParagraph"/>
        <w:numPr>
          <w:ilvl w:val="0"/>
          <w:numId w:val="6"/>
        </w:numPr>
        <w:spacing w:before="120" w:after="240" w:line="360" w:lineRule="auto"/>
        <w:jc w:val="both"/>
        <w:rPr>
          <w:rFonts w:ascii="Times New Roman" w:hAnsi="Times New Roman" w:cs="Times New Roman"/>
          <w:sz w:val="24"/>
          <w:szCs w:val="24"/>
        </w:rPr>
      </w:pPr>
      <w:r w:rsidRPr="00524043">
        <w:rPr>
          <w:rFonts w:ascii="Times New Roman" w:hAnsi="Times New Roman" w:cs="Times New Roman"/>
          <w:sz w:val="24"/>
          <w:szCs w:val="24"/>
        </w:rPr>
        <w:t xml:space="preserve">UNESCO (2009). Compendio Mundial de la Educación 2009. </w:t>
      </w:r>
    </w:p>
    <w:sectPr w:rsidR="00894F70" w:rsidRPr="00524043" w:rsidSect="005D65D8">
      <w:pgSz w:w="12240" w:h="15840"/>
      <w:pgMar w:top="1361" w:right="1304" w:bottom="1361" w:left="13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F70" w:rsidRDefault="00894F70" w:rsidP="00194593">
      <w:pPr>
        <w:spacing w:after="0" w:line="240" w:lineRule="auto"/>
      </w:pPr>
      <w:r>
        <w:separator/>
      </w:r>
    </w:p>
  </w:endnote>
  <w:endnote w:type="continuationSeparator" w:id="0">
    <w:p w:rsidR="00894F70" w:rsidRDefault="00894F70" w:rsidP="001945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F70" w:rsidRDefault="00894F70" w:rsidP="00194593">
      <w:pPr>
        <w:spacing w:after="0" w:line="240" w:lineRule="auto"/>
      </w:pPr>
      <w:r>
        <w:separator/>
      </w:r>
    </w:p>
  </w:footnote>
  <w:footnote w:type="continuationSeparator" w:id="0">
    <w:p w:rsidR="00894F70" w:rsidRDefault="00894F70" w:rsidP="00194593">
      <w:pPr>
        <w:spacing w:after="0" w:line="240" w:lineRule="auto"/>
      </w:pPr>
      <w:r>
        <w:continuationSeparator/>
      </w:r>
    </w:p>
  </w:footnote>
  <w:footnote w:id="1">
    <w:p w:rsidR="00894F70" w:rsidRDefault="00894F70" w:rsidP="00C96C40">
      <w:pPr>
        <w:spacing w:after="0" w:line="240" w:lineRule="auto"/>
        <w:jc w:val="both"/>
      </w:pPr>
      <w:r w:rsidRPr="00D940EB">
        <w:rPr>
          <w:rStyle w:val="FootnoteReference"/>
          <w:sz w:val="16"/>
          <w:szCs w:val="16"/>
        </w:rPr>
        <w:footnoteRef/>
      </w:r>
      <w:r w:rsidRPr="00D940EB">
        <w:rPr>
          <w:sz w:val="16"/>
          <w:szCs w:val="16"/>
        </w:rPr>
        <w:t>Los resultados corresponden a 501 estudiantes de Ciencias de la Educación, Ciencia Política y Administración Pública, Trabajo Social, Medicina (UNCuyo, Argentina) y Pedagogía (UFRJ, Brasil). El instrumento para recopilar la información fue el INCEAPU -Inventario de Concepciones y Experiencias de Aprender en la Universidad (Morchio, 2015).</w:t>
      </w:r>
    </w:p>
  </w:footnote>
  <w:footnote w:id="2">
    <w:p w:rsidR="00894F70" w:rsidRDefault="00894F70" w:rsidP="001D6BA7">
      <w:pPr>
        <w:pStyle w:val="FootnoteText"/>
      </w:pPr>
      <w:r w:rsidRPr="00D940EB">
        <w:rPr>
          <w:rStyle w:val="FootnoteReference"/>
          <w:sz w:val="16"/>
          <w:szCs w:val="16"/>
        </w:rPr>
        <w:footnoteRef/>
      </w:r>
      <w:r w:rsidRPr="00D940EB">
        <w:rPr>
          <w:sz w:val="16"/>
          <w:szCs w:val="16"/>
        </w:rPr>
        <w:t xml:space="preserve"> En el análisis según autopercepción de la competencia para aprender, gl = 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3FB3"/>
    <w:multiLevelType w:val="hybridMultilevel"/>
    <w:tmpl w:val="D1B0FF76"/>
    <w:lvl w:ilvl="0" w:tplc="794CE258">
      <w:start w:val="2"/>
      <w:numFmt w:val="bullet"/>
      <w:lvlText w:val="-"/>
      <w:lvlJc w:val="left"/>
      <w:pPr>
        <w:ind w:left="360" w:hanging="360"/>
      </w:pPr>
      <w:rPr>
        <w:rFonts w:ascii="Calibri" w:eastAsia="Times New Roman" w:hAnsi="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abstractNum w:abstractNumId="1">
    <w:nsid w:val="3C717EFC"/>
    <w:multiLevelType w:val="hybridMultilevel"/>
    <w:tmpl w:val="9D4045F8"/>
    <w:lvl w:ilvl="0" w:tplc="71A0A342">
      <w:numFmt w:val="bullet"/>
      <w:lvlText w:val="-"/>
      <w:lvlJc w:val="left"/>
      <w:pPr>
        <w:tabs>
          <w:tab w:val="num" w:pos="1005"/>
        </w:tabs>
        <w:ind w:left="1005" w:hanging="645"/>
      </w:pPr>
      <w:rPr>
        <w:rFonts w:ascii="Trebuchet MS" w:eastAsia="Times New Roman" w:hAnsi="Trebuchet M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
    <w:nsid w:val="3FAC77C4"/>
    <w:multiLevelType w:val="hybridMultilevel"/>
    <w:tmpl w:val="BC8601DC"/>
    <w:lvl w:ilvl="0" w:tplc="B3A2FB78">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nsid w:val="662433FA"/>
    <w:multiLevelType w:val="hybridMultilevel"/>
    <w:tmpl w:val="21C049EA"/>
    <w:lvl w:ilvl="0" w:tplc="FFCE441A">
      <w:start w:val="4"/>
      <w:numFmt w:val="bullet"/>
      <w:lvlText w:val=""/>
      <w:lvlJc w:val="left"/>
      <w:pPr>
        <w:ind w:left="720" w:hanging="360"/>
      </w:pPr>
      <w:rPr>
        <w:rFonts w:ascii="Symbol" w:eastAsia="Times New Roman"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abstractNum w:abstractNumId="4">
    <w:nsid w:val="6C280C09"/>
    <w:multiLevelType w:val="hybridMultilevel"/>
    <w:tmpl w:val="ACF4BC76"/>
    <w:lvl w:ilvl="0" w:tplc="2C0A0001">
      <w:start w:val="1"/>
      <w:numFmt w:val="bullet"/>
      <w:lvlText w:val=""/>
      <w:lvlJc w:val="left"/>
      <w:pPr>
        <w:ind w:left="720" w:hanging="360"/>
      </w:pPr>
      <w:rPr>
        <w:rFonts w:ascii="Symbol" w:hAnsi="Symbol" w:cs="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abstractNum w:abstractNumId="5">
    <w:nsid w:val="7D270574"/>
    <w:multiLevelType w:val="hybridMultilevel"/>
    <w:tmpl w:val="BE7E901E"/>
    <w:lvl w:ilvl="0" w:tplc="2C0A0001">
      <w:start w:val="1"/>
      <w:numFmt w:val="bullet"/>
      <w:lvlText w:val=""/>
      <w:lvlJc w:val="left"/>
      <w:pPr>
        <w:ind w:left="720" w:hanging="360"/>
      </w:pPr>
      <w:rPr>
        <w:rFonts w:ascii="Symbol" w:hAnsi="Symbol" w:cs="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3AE0"/>
    <w:rsid w:val="00033954"/>
    <w:rsid w:val="0004045E"/>
    <w:rsid w:val="00050CE8"/>
    <w:rsid w:val="000822FA"/>
    <w:rsid w:val="00094DD8"/>
    <w:rsid w:val="000D282E"/>
    <w:rsid w:val="000E171A"/>
    <w:rsid w:val="00114FF7"/>
    <w:rsid w:val="00130669"/>
    <w:rsid w:val="00132508"/>
    <w:rsid w:val="001502C0"/>
    <w:rsid w:val="00152AEC"/>
    <w:rsid w:val="00154AB0"/>
    <w:rsid w:val="00160F30"/>
    <w:rsid w:val="00181149"/>
    <w:rsid w:val="001823DF"/>
    <w:rsid w:val="00183967"/>
    <w:rsid w:val="001925E3"/>
    <w:rsid w:val="00194593"/>
    <w:rsid w:val="001A096C"/>
    <w:rsid w:val="001A68DB"/>
    <w:rsid w:val="001D6137"/>
    <w:rsid w:val="001D6BA7"/>
    <w:rsid w:val="001F7ACA"/>
    <w:rsid w:val="00213479"/>
    <w:rsid w:val="00220B46"/>
    <w:rsid w:val="00253BA3"/>
    <w:rsid w:val="002553E6"/>
    <w:rsid w:val="002573B4"/>
    <w:rsid w:val="0026131C"/>
    <w:rsid w:val="00265274"/>
    <w:rsid w:val="0026793A"/>
    <w:rsid w:val="00274C54"/>
    <w:rsid w:val="00280C83"/>
    <w:rsid w:val="002B74C7"/>
    <w:rsid w:val="002D25C8"/>
    <w:rsid w:val="002E39E3"/>
    <w:rsid w:val="00316EDD"/>
    <w:rsid w:val="00326C40"/>
    <w:rsid w:val="00342C6C"/>
    <w:rsid w:val="00347D0A"/>
    <w:rsid w:val="0038037A"/>
    <w:rsid w:val="00381EF9"/>
    <w:rsid w:val="00381FD6"/>
    <w:rsid w:val="003971C1"/>
    <w:rsid w:val="00397CF1"/>
    <w:rsid w:val="003A2694"/>
    <w:rsid w:val="003D4F15"/>
    <w:rsid w:val="003E075D"/>
    <w:rsid w:val="003E3868"/>
    <w:rsid w:val="003F3543"/>
    <w:rsid w:val="003F6910"/>
    <w:rsid w:val="00447E7D"/>
    <w:rsid w:val="0045786E"/>
    <w:rsid w:val="00457F22"/>
    <w:rsid w:val="00460A4C"/>
    <w:rsid w:val="00461D49"/>
    <w:rsid w:val="004634E3"/>
    <w:rsid w:val="00473854"/>
    <w:rsid w:val="0047423E"/>
    <w:rsid w:val="0048334E"/>
    <w:rsid w:val="004A2EC6"/>
    <w:rsid w:val="004B0289"/>
    <w:rsid w:val="004B52F6"/>
    <w:rsid w:val="004B5EA1"/>
    <w:rsid w:val="004D299F"/>
    <w:rsid w:val="004E05F5"/>
    <w:rsid w:val="00506E6B"/>
    <w:rsid w:val="005155BD"/>
    <w:rsid w:val="00515E0C"/>
    <w:rsid w:val="00524043"/>
    <w:rsid w:val="00532158"/>
    <w:rsid w:val="00544C83"/>
    <w:rsid w:val="00553BBA"/>
    <w:rsid w:val="005579F4"/>
    <w:rsid w:val="00570010"/>
    <w:rsid w:val="00593A7D"/>
    <w:rsid w:val="0059572A"/>
    <w:rsid w:val="005A4B9F"/>
    <w:rsid w:val="005C1D6C"/>
    <w:rsid w:val="005C5A3E"/>
    <w:rsid w:val="005D65D8"/>
    <w:rsid w:val="005F11C3"/>
    <w:rsid w:val="00606F57"/>
    <w:rsid w:val="00620BC5"/>
    <w:rsid w:val="00621259"/>
    <w:rsid w:val="00630523"/>
    <w:rsid w:val="00646C0D"/>
    <w:rsid w:val="00651CDD"/>
    <w:rsid w:val="00653B58"/>
    <w:rsid w:val="00660579"/>
    <w:rsid w:val="00682F5F"/>
    <w:rsid w:val="00695985"/>
    <w:rsid w:val="006A6A07"/>
    <w:rsid w:val="006C1E87"/>
    <w:rsid w:val="006C7C1B"/>
    <w:rsid w:val="006D2FDF"/>
    <w:rsid w:val="006E2E15"/>
    <w:rsid w:val="007012BB"/>
    <w:rsid w:val="00705AC9"/>
    <w:rsid w:val="007408F9"/>
    <w:rsid w:val="00740C61"/>
    <w:rsid w:val="007655BC"/>
    <w:rsid w:val="00766456"/>
    <w:rsid w:val="007715A8"/>
    <w:rsid w:val="00771D1A"/>
    <w:rsid w:val="00782036"/>
    <w:rsid w:val="007956C2"/>
    <w:rsid w:val="00795FD8"/>
    <w:rsid w:val="007A2841"/>
    <w:rsid w:val="007B4294"/>
    <w:rsid w:val="007D4DEE"/>
    <w:rsid w:val="007F78C9"/>
    <w:rsid w:val="008030F6"/>
    <w:rsid w:val="00803D27"/>
    <w:rsid w:val="00810CD2"/>
    <w:rsid w:val="00811CFE"/>
    <w:rsid w:val="0082058C"/>
    <w:rsid w:val="008311AA"/>
    <w:rsid w:val="00842367"/>
    <w:rsid w:val="00843D5D"/>
    <w:rsid w:val="008556F3"/>
    <w:rsid w:val="008617C7"/>
    <w:rsid w:val="00876F0C"/>
    <w:rsid w:val="00882A05"/>
    <w:rsid w:val="0088675D"/>
    <w:rsid w:val="00894F70"/>
    <w:rsid w:val="008A6E5D"/>
    <w:rsid w:val="008B0DDB"/>
    <w:rsid w:val="008C39D9"/>
    <w:rsid w:val="008C56BF"/>
    <w:rsid w:val="008C7EA4"/>
    <w:rsid w:val="008E593D"/>
    <w:rsid w:val="009234EE"/>
    <w:rsid w:val="00936FA3"/>
    <w:rsid w:val="00955A6E"/>
    <w:rsid w:val="009619BC"/>
    <w:rsid w:val="00974C77"/>
    <w:rsid w:val="00977B21"/>
    <w:rsid w:val="00985F94"/>
    <w:rsid w:val="00993468"/>
    <w:rsid w:val="00993D27"/>
    <w:rsid w:val="009A6DD5"/>
    <w:rsid w:val="009B062A"/>
    <w:rsid w:val="009B7E4C"/>
    <w:rsid w:val="009C5C10"/>
    <w:rsid w:val="009D33C0"/>
    <w:rsid w:val="009D55C9"/>
    <w:rsid w:val="009D6586"/>
    <w:rsid w:val="009F39FF"/>
    <w:rsid w:val="00A073D2"/>
    <w:rsid w:val="00A5156F"/>
    <w:rsid w:val="00A66968"/>
    <w:rsid w:val="00A77858"/>
    <w:rsid w:val="00A823E8"/>
    <w:rsid w:val="00A84B01"/>
    <w:rsid w:val="00AA011A"/>
    <w:rsid w:val="00AE0B9D"/>
    <w:rsid w:val="00AE1344"/>
    <w:rsid w:val="00AE733D"/>
    <w:rsid w:val="00AF4753"/>
    <w:rsid w:val="00B01D9E"/>
    <w:rsid w:val="00B058F1"/>
    <w:rsid w:val="00B074DD"/>
    <w:rsid w:val="00B1156A"/>
    <w:rsid w:val="00B223FB"/>
    <w:rsid w:val="00B25058"/>
    <w:rsid w:val="00B26452"/>
    <w:rsid w:val="00B320CF"/>
    <w:rsid w:val="00B33512"/>
    <w:rsid w:val="00B657B3"/>
    <w:rsid w:val="00B7168A"/>
    <w:rsid w:val="00B80C20"/>
    <w:rsid w:val="00B85035"/>
    <w:rsid w:val="00BA148C"/>
    <w:rsid w:val="00BA321E"/>
    <w:rsid w:val="00BA4EA5"/>
    <w:rsid w:val="00BA6621"/>
    <w:rsid w:val="00BB0D09"/>
    <w:rsid w:val="00BB5C7B"/>
    <w:rsid w:val="00BC0F72"/>
    <w:rsid w:val="00BF53B8"/>
    <w:rsid w:val="00C10DFF"/>
    <w:rsid w:val="00C1479A"/>
    <w:rsid w:val="00C33036"/>
    <w:rsid w:val="00C42760"/>
    <w:rsid w:val="00C44A14"/>
    <w:rsid w:val="00C63D2B"/>
    <w:rsid w:val="00C66903"/>
    <w:rsid w:val="00C911C2"/>
    <w:rsid w:val="00C96C40"/>
    <w:rsid w:val="00CB4ADF"/>
    <w:rsid w:val="00CE0003"/>
    <w:rsid w:val="00CF286C"/>
    <w:rsid w:val="00D00F3E"/>
    <w:rsid w:val="00D03011"/>
    <w:rsid w:val="00D16067"/>
    <w:rsid w:val="00D4040B"/>
    <w:rsid w:val="00D5588C"/>
    <w:rsid w:val="00D940EB"/>
    <w:rsid w:val="00DB4E86"/>
    <w:rsid w:val="00DC3255"/>
    <w:rsid w:val="00DC616B"/>
    <w:rsid w:val="00DD1137"/>
    <w:rsid w:val="00DD26C0"/>
    <w:rsid w:val="00DF3984"/>
    <w:rsid w:val="00DF5CA9"/>
    <w:rsid w:val="00E03AE0"/>
    <w:rsid w:val="00E15143"/>
    <w:rsid w:val="00E2127C"/>
    <w:rsid w:val="00E3089D"/>
    <w:rsid w:val="00E51A21"/>
    <w:rsid w:val="00E858D6"/>
    <w:rsid w:val="00E93B53"/>
    <w:rsid w:val="00E97A16"/>
    <w:rsid w:val="00EB5420"/>
    <w:rsid w:val="00EB7C70"/>
    <w:rsid w:val="00ED41FF"/>
    <w:rsid w:val="00F14492"/>
    <w:rsid w:val="00F23688"/>
    <w:rsid w:val="00F31ECA"/>
    <w:rsid w:val="00F41606"/>
    <w:rsid w:val="00F471A7"/>
    <w:rsid w:val="00F5126E"/>
    <w:rsid w:val="00F51BF3"/>
    <w:rsid w:val="00F640A4"/>
    <w:rsid w:val="00F77071"/>
    <w:rsid w:val="00F77A29"/>
    <w:rsid w:val="00F827C2"/>
    <w:rsid w:val="00FA655C"/>
    <w:rsid w:val="00FB21B6"/>
    <w:rsid w:val="00FF57E5"/>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79A"/>
    <w:pPr>
      <w:spacing w:after="200" w:line="276" w:lineRule="auto"/>
    </w:pPr>
    <w:rPr>
      <w:rFonts w:cs="Calibri"/>
      <w:lang w:val="es-AR"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5F94"/>
    <w:rPr>
      <w:color w:val="0000FF"/>
      <w:u w:val="single"/>
    </w:rPr>
  </w:style>
  <w:style w:type="paragraph" w:styleId="ListParagraph">
    <w:name w:val="List Paragraph"/>
    <w:basedOn w:val="Normal"/>
    <w:uiPriority w:val="99"/>
    <w:qFormat/>
    <w:rsid w:val="00DF5CA9"/>
    <w:pPr>
      <w:ind w:left="720"/>
    </w:pPr>
  </w:style>
  <w:style w:type="table" w:styleId="TableGrid">
    <w:name w:val="Table Grid"/>
    <w:basedOn w:val="TableNormal"/>
    <w:uiPriority w:val="99"/>
    <w:rsid w:val="0019459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194593"/>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94593"/>
    <w:rPr>
      <w:sz w:val="20"/>
      <w:szCs w:val="20"/>
    </w:rPr>
  </w:style>
  <w:style w:type="character" w:styleId="FootnoteReference">
    <w:name w:val="footnote reference"/>
    <w:basedOn w:val="DefaultParagraphFont"/>
    <w:uiPriority w:val="99"/>
    <w:semiHidden/>
    <w:rsid w:val="00194593"/>
    <w:rPr>
      <w:vertAlign w:val="superscript"/>
    </w:rPr>
  </w:style>
  <w:style w:type="character" w:styleId="CommentReference">
    <w:name w:val="annotation reference"/>
    <w:basedOn w:val="DefaultParagraphFont"/>
    <w:uiPriority w:val="99"/>
    <w:semiHidden/>
    <w:rsid w:val="00183967"/>
    <w:rPr>
      <w:sz w:val="16"/>
      <w:szCs w:val="16"/>
    </w:rPr>
  </w:style>
  <w:style w:type="paragraph" w:styleId="CommentText">
    <w:name w:val="annotation text"/>
    <w:basedOn w:val="Normal"/>
    <w:link w:val="CommentTextChar"/>
    <w:uiPriority w:val="99"/>
    <w:semiHidden/>
    <w:rsid w:val="0018396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183967"/>
    <w:rPr>
      <w:sz w:val="20"/>
      <w:szCs w:val="20"/>
    </w:rPr>
  </w:style>
  <w:style w:type="paragraph" w:styleId="CommentSubject">
    <w:name w:val="annotation subject"/>
    <w:basedOn w:val="CommentText"/>
    <w:next w:val="CommentText"/>
    <w:link w:val="CommentSubjectChar"/>
    <w:uiPriority w:val="99"/>
    <w:semiHidden/>
    <w:rsid w:val="00183967"/>
    <w:rPr>
      <w:b/>
      <w:bCs/>
    </w:rPr>
  </w:style>
  <w:style w:type="character" w:customStyle="1" w:styleId="CommentSubjectChar">
    <w:name w:val="Comment Subject Char"/>
    <w:basedOn w:val="CommentTextChar"/>
    <w:link w:val="CommentSubject"/>
    <w:uiPriority w:val="99"/>
    <w:semiHidden/>
    <w:locked/>
    <w:rsid w:val="00183967"/>
    <w:rPr>
      <w:b/>
      <w:bCs/>
    </w:rPr>
  </w:style>
  <w:style w:type="paragraph" w:styleId="BalloonText">
    <w:name w:val="Balloon Text"/>
    <w:basedOn w:val="Normal"/>
    <w:link w:val="BalloonTextChar"/>
    <w:uiPriority w:val="99"/>
    <w:semiHidden/>
    <w:rsid w:val="001839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3967"/>
    <w:rPr>
      <w:rFonts w:ascii="Tahoma" w:hAnsi="Tahoma" w:cs="Tahoma"/>
      <w:sz w:val="16"/>
      <w:szCs w:val="16"/>
    </w:rPr>
  </w:style>
  <w:style w:type="character" w:customStyle="1" w:styleId="apple-converted-space">
    <w:name w:val="apple-converted-space"/>
    <w:basedOn w:val="DefaultParagraphFont"/>
    <w:uiPriority w:val="99"/>
    <w:rsid w:val="0059572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cu.edu.ar/documentacion-catalogo-proyecto" TargetMode="External"/><Relationship Id="rId3" Type="http://schemas.openxmlformats.org/officeDocument/2006/relationships/settings" Target="settings.xml"/><Relationship Id="rId7" Type="http://schemas.openxmlformats.org/officeDocument/2006/relationships/hyperlink" Target="http://www.alfaguia.org/www-alfa/images/.../22_DoniniA_LaTutori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8</Pages>
  <Words>2711</Words>
  <Characters>14912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trabajo: Resignificación de las experiencias con alumnos como clave para re-pensar las instancias de Ingreso</dc:title>
  <dc:subject/>
  <dc:creator>Lucy</dc:creator>
  <cp:keywords/>
  <dc:description/>
  <cp:lastModifiedBy>qaz</cp:lastModifiedBy>
  <cp:revision>2</cp:revision>
  <dcterms:created xsi:type="dcterms:W3CDTF">2017-05-02T12:04:00Z</dcterms:created>
  <dcterms:modified xsi:type="dcterms:W3CDTF">2017-05-02T12:04:00Z</dcterms:modified>
</cp:coreProperties>
</file>