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1512" w:rsidRDefault="00841512" w:rsidP="003769A9">
      <w:pPr>
        <w:spacing w:line="276" w:lineRule="auto"/>
        <w:jc w:val="center"/>
        <w:outlineLvl w:val="0"/>
        <w:rPr>
          <w:b/>
        </w:rPr>
      </w:pPr>
      <w:r>
        <w:rPr>
          <w:b/>
        </w:rPr>
        <w:t xml:space="preserve">De la </w:t>
      </w:r>
      <w:r w:rsidRPr="000340C7">
        <w:rPr>
          <w:b/>
        </w:rPr>
        <w:t>semiosis plástica</w:t>
      </w:r>
      <w:r>
        <w:rPr>
          <w:b/>
        </w:rPr>
        <w:t xml:space="preserve"> del apunte a su reformulación</w:t>
      </w:r>
    </w:p>
    <w:p w:rsidR="00841512" w:rsidRPr="00337BA5" w:rsidRDefault="00841512" w:rsidP="006F6BD2">
      <w:pPr>
        <w:spacing w:line="276" w:lineRule="auto"/>
        <w:jc w:val="center"/>
      </w:pPr>
      <w:r w:rsidRPr="00337BA5">
        <w:t>María Elena Bitonte (UNM, UBA)</w:t>
      </w:r>
      <w:r>
        <w:t xml:space="preserve"> y </w:t>
      </w:r>
      <w:r w:rsidRPr="00337BA5">
        <w:t>Marisa Macchi (UNM, UBA)</w:t>
      </w:r>
    </w:p>
    <w:p w:rsidR="00841512" w:rsidRPr="00337BA5" w:rsidRDefault="00841512" w:rsidP="006F6BD2">
      <w:pPr>
        <w:spacing w:line="276" w:lineRule="auto"/>
        <w:jc w:val="center"/>
      </w:pPr>
      <w:r w:rsidRPr="00337BA5">
        <w:t xml:space="preserve">VII Encuentro Nacional y IV Internacional sobre Ingreso Universitario de </w:t>
      </w:r>
      <w:smartTag w:uri="urn:schemas-microsoft-com:office:smarttags" w:element="PersonName">
        <w:smartTagPr>
          <w:attr w:name="ProductID" w:val="la Universidad Nacional"/>
        </w:smartTagPr>
        <w:r w:rsidRPr="00337BA5">
          <w:t>la Universidad Nacional</w:t>
        </w:r>
      </w:smartTag>
      <w:r w:rsidRPr="00337BA5">
        <w:t xml:space="preserve"> de Cuyo. Se desarrollará el 2,3 y 4 de agosto</w:t>
      </w:r>
    </w:p>
    <w:p w:rsidR="00841512" w:rsidRPr="00044528" w:rsidRDefault="00841512" w:rsidP="006F6BD2">
      <w:pPr>
        <w:spacing w:after="240" w:line="276" w:lineRule="auto"/>
        <w:jc w:val="both"/>
        <w:rPr>
          <w:b/>
        </w:rPr>
      </w:pPr>
    </w:p>
    <w:p w:rsidR="00841512" w:rsidRPr="00CF4E99" w:rsidRDefault="00841512" w:rsidP="006F6BD2">
      <w:pPr>
        <w:spacing w:after="240" w:line="276" w:lineRule="auto"/>
        <w:jc w:val="both"/>
        <w:rPr>
          <w:lang w:val="es-AR"/>
        </w:rPr>
      </w:pPr>
      <w:r>
        <w:rPr>
          <w:b/>
          <w:lang w:val="es-AR"/>
        </w:rPr>
        <w:t xml:space="preserve">Modalidad </w:t>
      </w:r>
      <w:r w:rsidRPr="00337BA5">
        <w:rPr>
          <w:b/>
          <w:lang w:val="es-AR"/>
        </w:rPr>
        <w:t>Taller:</w:t>
      </w:r>
      <w:r w:rsidRPr="00337BA5">
        <w:rPr>
          <w:lang w:val="es-AR"/>
        </w:rPr>
        <w:t xml:space="preserve"> Eje 3.2. Saberes prioritarios. Competencias básicas, generales y específicas. Competencias transversales y su relación con hábitos y estrategias de estudio y habilidades sociales.</w:t>
      </w:r>
    </w:p>
    <w:p w:rsidR="00841512" w:rsidRPr="0047414E" w:rsidRDefault="00841512" w:rsidP="003769A9">
      <w:pPr>
        <w:spacing w:after="240" w:line="276" w:lineRule="auto"/>
        <w:jc w:val="both"/>
        <w:outlineLvl w:val="0"/>
        <w:rPr>
          <w:b/>
        </w:rPr>
      </w:pPr>
      <w:r w:rsidRPr="0047414E">
        <w:rPr>
          <w:b/>
        </w:rPr>
        <w:t>Propuesta</w:t>
      </w:r>
    </w:p>
    <w:p w:rsidR="00841512" w:rsidRPr="007D632A" w:rsidRDefault="00841512" w:rsidP="006F6BD2">
      <w:pPr>
        <w:spacing w:after="240" w:line="276" w:lineRule="auto"/>
        <w:jc w:val="both"/>
      </w:pPr>
      <w:r>
        <w:tab/>
      </w:r>
      <w:r w:rsidRPr="007D632A">
        <w:t xml:space="preserve">El apunte es un género didáctico fundamental para el desarrollo de tareas de estudio en </w:t>
      </w:r>
      <w:smartTag w:uri="urn:schemas-microsoft-com:office:smarttags" w:element="PersonName">
        <w:smartTagPr>
          <w:attr w:name="ProductID" w:val="la Universidad.  Plasma"/>
        </w:smartTagPr>
        <w:r w:rsidRPr="007D632A">
          <w:t>la Universidad.</w:t>
        </w:r>
        <w:r>
          <w:t xml:space="preserve">  Plasma</w:t>
        </w:r>
      </w:smartTag>
      <w:r>
        <w:t xml:space="preserve"> </w:t>
      </w:r>
      <w:r w:rsidRPr="007D632A">
        <w:t>la información tomada de un discurso oral (clase, conferencia,</w:t>
      </w:r>
      <w:r>
        <w:t xml:space="preserve"> charla, curso, panel, ateneo),</w:t>
      </w:r>
      <w:r w:rsidRPr="007D632A">
        <w:t xml:space="preserve"> escrito (bibliografía)</w:t>
      </w:r>
      <w:r>
        <w:t xml:space="preserve"> o incluso pensado (apunte de ideas) en un soporte concreto donde volverlos a encontrar. Recoge y o</w:t>
      </w:r>
      <w:r w:rsidRPr="007D632A">
        <w:t>rganiza</w:t>
      </w:r>
      <w:r>
        <w:t xml:space="preserve"> los datos </w:t>
      </w:r>
      <w:r w:rsidRPr="007D632A">
        <w:t xml:space="preserve">en relaciones diversas que tienden a </w:t>
      </w:r>
      <w:r>
        <w:t xml:space="preserve">seleccionar, resumir, </w:t>
      </w:r>
      <w:r w:rsidRPr="007D632A">
        <w:t>conceptualizar, jerarquizar contenid</w:t>
      </w:r>
      <w:r>
        <w:t>os</w:t>
      </w:r>
      <w:r w:rsidRPr="007D632A">
        <w:t xml:space="preserve">, </w:t>
      </w:r>
      <w:r>
        <w:t>completar y complementar información, subray</w:t>
      </w:r>
      <w:r w:rsidRPr="007D632A">
        <w:t>ar aspectos temáticos relevantes</w:t>
      </w:r>
      <w:r>
        <w:t>, entre otras operaciones.</w:t>
      </w:r>
    </w:p>
    <w:p w:rsidR="00841512" w:rsidRDefault="00841512" w:rsidP="006F6BD2">
      <w:pPr>
        <w:spacing w:after="240" w:line="276" w:lineRule="auto"/>
        <w:jc w:val="both"/>
      </w:pPr>
      <w:r>
        <w:tab/>
        <w:t xml:space="preserve">A diferencia de otros géneros académicos destinados a comunicar un saber para otro, el apunte es un género aparentemente simple: casi siempre su destino es quien lo escribe. Los enunciados del apunte están determinados por la situación y el tema de la clase donde se generan. Estas condiciones de producción dejan sus huellas en un discurso urgente y con criterios de orden muy personales, de escritura no lineal, carente de conectores, con blancos, lagunas y </w:t>
      </w:r>
      <w:r w:rsidRPr="0044207A">
        <w:rPr>
          <w:i/>
        </w:rPr>
        <w:t>non sequitur</w:t>
      </w:r>
      <w:r>
        <w:t>, a menudo desprolijo, al que se le superponen enmiendas, tachaduras, agregados. Tanto es así que muchas veces, al volver sobre él, sus trazos resultan ilegibles incluso para su propio autor. Por eso, es preciso adquirir habilidades para una buena toma de apuntes ya que constituyen un insumo necesario en la vida universitaria: destreza motriz, escucha atenta, recuperación de saberes previos, inferencias, improvisación, sentido de relevancia, operaciones resuntivas y de reformulación, entre otras.</w:t>
      </w:r>
    </w:p>
    <w:p w:rsidR="00841512" w:rsidRDefault="00841512" w:rsidP="006F6BD2">
      <w:pPr>
        <w:spacing w:after="240" w:line="276" w:lineRule="auto"/>
        <w:jc w:val="both"/>
      </w:pPr>
      <w:r>
        <w:tab/>
      </w:r>
      <w:r w:rsidRPr="007D632A">
        <w:t>El desarrollo de habilidades para el dominio de dicho género desde los inicios de la vida universitaria constituye un saber prioritario puesto que pone en funcionamiento procesos cognitivos fundantes del conocimiento, genera hábitos y estrategias metacognitivas que conducen a la apropiación del saber por medio de la elaboración de relaciones</w:t>
      </w:r>
      <w:r>
        <w:t xml:space="preserve"> particulares entre los conceptos</w:t>
      </w:r>
      <w:r w:rsidRPr="007D632A">
        <w:t xml:space="preserve">.  </w:t>
      </w:r>
    </w:p>
    <w:p w:rsidR="00841512" w:rsidRDefault="00841512" w:rsidP="006F6BD2">
      <w:pPr>
        <w:spacing w:after="240" w:line="276" w:lineRule="auto"/>
        <w:jc w:val="both"/>
      </w:pPr>
      <w:r>
        <w:tab/>
      </w:r>
      <w:r w:rsidRPr="007D632A">
        <w:t>El</w:t>
      </w:r>
      <w:r>
        <w:t xml:space="preserve"> objetivo de esta propuesta es reflexionar en torno a las habilidades que requiere el género, las condiciones en las cuales se genera, las operaciones necesarias para su producción y su reformulación en un lenguaje formal. Se presentará una actividad destinada a la didáctica del apunte, sobre la base de un ejercicio áulico realizado en el marco del Taller de Lectoescritura del COPRUN en 2017.</w:t>
      </w:r>
    </w:p>
    <w:p w:rsidR="00841512" w:rsidRDefault="00841512" w:rsidP="006F6BD2">
      <w:pPr>
        <w:spacing w:after="240" w:line="276" w:lineRule="auto"/>
        <w:jc w:val="both"/>
      </w:pPr>
    </w:p>
    <w:p w:rsidR="00841512" w:rsidRPr="000C7ADE" w:rsidRDefault="00841512" w:rsidP="003769A9">
      <w:pPr>
        <w:spacing w:after="240" w:line="276" w:lineRule="auto"/>
        <w:jc w:val="both"/>
        <w:outlineLvl w:val="0"/>
        <w:rPr>
          <w:b/>
        </w:rPr>
      </w:pPr>
      <w:r w:rsidRPr="000C7ADE">
        <w:rPr>
          <w:b/>
        </w:rPr>
        <w:t>Objetivos</w:t>
      </w:r>
      <w:r>
        <w:rPr>
          <w:b/>
        </w:rPr>
        <w:t xml:space="preserve"> generales</w:t>
      </w:r>
    </w:p>
    <w:p w:rsidR="00841512" w:rsidRDefault="00841512" w:rsidP="006F6BD2">
      <w:pPr>
        <w:pStyle w:val="ListParagraph"/>
        <w:numPr>
          <w:ilvl w:val="0"/>
          <w:numId w:val="2"/>
        </w:numPr>
        <w:spacing w:after="240" w:line="276" w:lineRule="auto"/>
        <w:jc w:val="both"/>
      </w:pPr>
      <w:r>
        <w:t xml:space="preserve">Caracterizar el apunte como género didáctico. </w:t>
      </w:r>
    </w:p>
    <w:p w:rsidR="00841512" w:rsidRDefault="00841512" w:rsidP="006F6BD2">
      <w:pPr>
        <w:pStyle w:val="ListParagraph"/>
        <w:numPr>
          <w:ilvl w:val="0"/>
          <w:numId w:val="2"/>
        </w:numPr>
        <w:spacing w:after="240" w:line="276" w:lineRule="auto"/>
        <w:jc w:val="both"/>
      </w:pPr>
      <w:r>
        <w:t>Establecer relaciones entre este género y los hábitos y estrategias de estudio en los estudios superiores.</w:t>
      </w:r>
    </w:p>
    <w:p w:rsidR="00841512" w:rsidRDefault="00841512" w:rsidP="006F6BD2">
      <w:pPr>
        <w:pStyle w:val="ListParagraph"/>
        <w:numPr>
          <w:ilvl w:val="0"/>
          <w:numId w:val="2"/>
        </w:numPr>
        <w:spacing w:after="240" w:line="276" w:lineRule="auto"/>
        <w:jc w:val="both"/>
      </w:pPr>
      <w:r>
        <w:t xml:space="preserve">Reflexionar acerca de su valor en la construcción del conocimiento. </w:t>
      </w:r>
    </w:p>
    <w:p w:rsidR="00841512" w:rsidRDefault="00841512" w:rsidP="006F6BD2">
      <w:pPr>
        <w:pStyle w:val="ListParagraph"/>
        <w:numPr>
          <w:ilvl w:val="0"/>
          <w:numId w:val="2"/>
        </w:numPr>
        <w:spacing w:after="240" w:line="276" w:lineRule="auto"/>
        <w:jc w:val="both"/>
      </w:pPr>
      <w:r>
        <w:t>Relevar la importancia de un género considerado menor.</w:t>
      </w:r>
    </w:p>
    <w:p w:rsidR="00841512" w:rsidRPr="00B42741" w:rsidRDefault="00841512" w:rsidP="006F6BD2">
      <w:pPr>
        <w:pStyle w:val="ListParagraph"/>
        <w:numPr>
          <w:ilvl w:val="0"/>
          <w:numId w:val="2"/>
        </w:numPr>
        <w:spacing w:after="240" w:line="276" w:lineRule="auto"/>
        <w:jc w:val="both"/>
      </w:pPr>
      <w:r>
        <w:t xml:space="preserve">Interpretar </w:t>
      </w:r>
      <w:r w:rsidRPr="00B42741">
        <w:t>el proceso de reformulación</w:t>
      </w:r>
      <w:r>
        <w:t xml:space="preserve"> </w:t>
      </w:r>
      <w:r w:rsidRPr="00B42741">
        <w:t>como</w:t>
      </w:r>
      <w:r>
        <w:t xml:space="preserve"> consecuencia de las relaciones organizadas en el apunte: </w:t>
      </w:r>
      <w:r w:rsidRPr="00B42741">
        <w:t xml:space="preserve">estrategia de primer orden para el estudio y la producción de conocimientos. </w:t>
      </w:r>
    </w:p>
    <w:p w:rsidR="00841512" w:rsidRDefault="00841512" w:rsidP="006F6BD2">
      <w:pPr>
        <w:pStyle w:val="ListParagraph"/>
        <w:numPr>
          <w:ilvl w:val="0"/>
          <w:numId w:val="2"/>
        </w:numPr>
        <w:spacing w:after="240" w:line="276" w:lineRule="auto"/>
        <w:jc w:val="both"/>
      </w:pPr>
      <w:r>
        <w:t>Instrumentar y socializar con docentes actividades de enseñanza y aprendizaje de la toma de apuntes en la educación superior.</w:t>
      </w:r>
    </w:p>
    <w:p w:rsidR="00841512" w:rsidRDefault="00841512" w:rsidP="003769A9">
      <w:pPr>
        <w:spacing w:after="240" w:line="276" w:lineRule="auto"/>
        <w:jc w:val="both"/>
        <w:outlineLvl w:val="0"/>
        <w:rPr>
          <w:b/>
        </w:rPr>
      </w:pPr>
      <w:r>
        <w:rPr>
          <w:b/>
        </w:rPr>
        <w:t xml:space="preserve">Objetivos específicos </w:t>
      </w:r>
    </w:p>
    <w:p w:rsidR="00841512" w:rsidRDefault="00841512" w:rsidP="00925096">
      <w:pPr>
        <w:pStyle w:val="ListParagraph"/>
        <w:numPr>
          <w:ilvl w:val="0"/>
          <w:numId w:val="3"/>
        </w:numPr>
        <w:spacing w:after="240" w:line="276" w:lineRule="auto"/>
        <w:jc w:val="both"/>
      </w:pPr>
      <w:r>
        <w:t>Observar apuntes de escritores académicos expertos.</w:t>
      </w:r>
    </w:p>
    <w:p w:rsidR="00841512" w:rsidRDefault="00841512" w:rsidP="00925096">
      <w:pPr>
        <w:pStyle w:val="ListParagraph"/>
        <w:numPr>
          <w:ilvl w:val="0"/>
          <w:numId w:val="3"/>
        </w:numPr>
        <w:spacing w:after="240" w:line="276" w:lineRule="auto"/>
        <w:jc w:val="both"/>
      </w:pPr>
      <w:r>
        <w:t>Comparar las actividades que realizan los escritores expertos con las que formulan los escritores inexpertos, en el momento de producir apuntes.</w:t>
      </w:r>
    </w:p>
    <w:p w:rsidR="00841512" w:rsidRDefault="00841512" w:rsidP="0076145D">
      <w:pPr>
        <w:pStyle w:val="ListParagraph"/>
        <w:numPr>
          <w:ilvl w:val="0"/>
          <w:numId w:val="3"/>
        </w:numPr>
        <w:spacing w:after="240" w:line="276" w:lineRule="auto"/>
        <w:jc w:val="both"/>
      </w:pPr>
      <w:r w:rsidRPr="00242F2A">
        <w:t>Identificar</w:t>
      </w:r>
      <w:r>
        <w:t xml:space="preserve"> las propiedades semio-discursivas del apunte a partir de un corpus de apuntes tomados por  estudiantes del Taller de Lectoescritura del COPRUN.</w:t>
      </w:r>
    </w:p>
    <w:p w:rsidR="00841512" w:rsidRDefault="00841512" w:rsidP="006F6BD2">
      <w:pPr>
        <w:pStyle w:val="ListParagraph"/>
        <w:numPr>
          <w:ilvl w:val="0"/>
          <w:numId w:val="3"/>
        </w:numPr>
        <w:spacing w:after="240" w:line="276" w:lineRule="auto"/>
        <w:jc w:val="both"/>
      </w:pPr>
      <w:r>
        <w:t>Analizar las operaciones que realiza el escritor en la producción y reformulación del apunte.</w:t>
      </w:r>
    </w:p>
    <w:p w:rsidR="00841512" w:rsidRDefault="00841512" w:rsidP="006F6BD2">
      <w:pPr>
        <w:pStyle w:val="ListParagraph"/>
        <w:numPr>
          <w:ilvl w:val="0"/>
          <w:numId w:val="3"/>
        </w:numPr>
        <w:spacing w:after="240" w:line="276" w:lineRule="auto"/>
        <w:jc w:val="both"/>
      </w:pPr>
      <w:r>
        <w:t xml:space="preserve">Observar formas de reposición a partir de saberes previos, inferencias, construcción de la relevancia, operaciones de referenciación, resuntivas, descontextualización y recontextualización. </w:t>
      </w:r>
    </w:p>
    <w:p w:rsidR="00841512" w:rsidRDefault="00841512" w:rsidP="006F6BD2">
      <w:pPr>
        <w:pStyle w:val="ListParagraph"/>
        <w:numPr>
          <w:ilvl w:val="0"/>
          <w:numId w:val="3"/>
        </w:numPr>
        <w:spacing w:after="240" w:line="276" w:lineRule="auto"/>
        <w:jc w:val="both"/>
      </w:pPr>
      <w:r>
        <w:t>Examinar las condiciones de producción del apunte a través del análisis de sus huellas discursivas.</w:t>
      </w:r>
    </w:p>
    <w:p w:rsidR="00841512" w:rsidRDefault="00841512" w:rsidP="006F6BD2">
      <w:pPr>
        <w:pStyle w:val="ListParagraph"/>
        <w:numPr>
          <w:ilvl w:val="0"/>
          <w:numId w:val="3"/>
        </w:numPr>
        <w:spacing w:after="240" w:line="276" w:lineRule="auto"/>
        <w:jc w:val="both"/>
      </w:pPr>
      <w:r>
        <w:t xml:space="preserve">Describir la superficie semio-plástica del apunte través de los distintos tipos de signos que se encuentran en la superficie discursiva (marcas gráficas, señales, símbolos). </w:t>
      </w:r>
    </w:p>
    <w:p w:rsidR="00841512" w:rsidRDefault="00841512" w:rsidP="006F6BD2">
      <w:pPr>
        <w:pStyle w:val="ListParagraph"/>
        <w:numPr>
          <w:ilvl w:val="0"/>
          <w:numId w:val="3"/>
        </w:numPr>
        <w:spacing w:after="240" w:line="276" w:lineRule="auto"/>
        <w:jc w:val="both"/>
      </w:pPr>
      <w:r>
        <w:t>Analizar las condiciones de enunciación del apunte (construcción de sí como enunciador y enunciatario, construcción de la referencia) y su transferencia a un discurso formal destinado a un docente que lo evaluará.</w:t>
      </w:r>
    </w:p>
    <w:p w:rsidR="00841512" w:rsidRDefault="00841512" w:rsidP="006F6BD2">
      <w:pPr>
        <w:pStyle w:val="ListParagraph"/>
        <w:numPr>
          <w:ilvl w:val="0"/>
          <w:numId w:val="3"/>
        </w:numPr>
        <w:spacing w:after="240" w:line="276" w:lineRule="auto"/>
        <w:jc w:val="both"/>
      </w:pPr>
      <w:r>
        <w:t xml:space="preserve">Analizar el proceso de reformulación del apunte (operaciones transposición a un lenguaje formal) a partir del trabajo con materiales concretos. </w:t>
      </w:r>
    </w:p>
    <w:p w:rsidR="00841512" w:rsidRDefault="00841512" w:rsidP="0076145D">
      <w:pPr>
        <w:pStyle w:val="ListParagraph"/>
        <w:numPr>
          <w:ilvl w:val="0"/>
          <w:numId w:val="3"/>
        </w:numPr>
        <w:spacing w:after="240" w:line="276" w:lineRule="auto"/>
        <w:jc w:val="both"/>
      </w:pPr>
      <w:r>
        <w:t>Reflexionar acerca de las operaciones meta-discursivas puestas en juego en la actividad.</w:t>
      </w:r>
    </w:p>
    <w:p w:rsidR="00841512" w:rsidRPr="0076145D" w:rsidRDefault="00841512" w:rsidP="0076145D">
      <w:pPr>
        <w:pStyle w:val="ListParagraph"/>
        <w:spacing w:after="240" w:line="276" w:lineRule="auto"/>
        <w:jc w:val="both"/>
      </w:pPr>
    </w:p>
    <w:p w:rsidR="00841512" w:rsidRPr="006427F8" w:rsidRDefault="00841512" w:rsidP="006427F8">
      <w:pPr>
        <w:spacing w:after="240" w:line="276" w:lineRule="auto"/>
        <w:jc w:val="both"/>
        <w:outlineLvl w:val="0"/>
        <w:rPr>
          <w:b/>
        </w:rPr>
      </w:pPr>
      <w:r w:rsidRPr="001643F5">
        <w:rPr>
          <w:b/>
        </w:rPr>
        <w:t>Metodología</w:t>
      </w:r>
    </w:p>
    <w:p w:rsidR="00841512" w:rsidRPr="003339ED" w:rsidRDefault="00841512" w:rsidP="0076145D">
      <w:pPr>
        <w:spacing w:after="240" w:line="276" w:lineRule="auto"/>
        <w:ind w:firstLine="708"/>
        <w:jc w:val="both"/>
      </w:pPr>
      <w:r w:rsidRPr="003339ED">
        <w:t>Los géneros didácticos como el apunte se encuentran vinculados al desarrollo de habilidades y prácticas indispensables para el desarrollo de los aprendizajes disciplinares.  Dicho proceso será considerado a partir del trabajo con un corpus de escrituras y reformulaciones de un género discursivo fundamental: el apunte.</w:t>
      </w:r>
      <w:r>
        <w:t xml:space="preserve"> El trabajo de este taller será a partir de una consigna realizada</w:t>
      </w:r>
      <w:r w:rsidRPr="00BA4F6E">
        <w:t xml:space="preserve"> en el marco del Taller de Lectoescritura del COPRUN</w:t>
      </w:r>
      <w:r>
        <w:t xml:space="preserve"> 2017</w:t>
      </w:r>
      <w:r w:rsidRPr="00BA4F6E">
        <w:t>)</w:t>
      </w:r>
      <w:r>
        <w:t>, la que</w:t>
      </w:r>
      <w:r w:rsidRPr="00BA4F6E">
        <w:t xml:space="preserve"> contempló dos pasos: </w:t>
      </w:r>
      <w:r>
        <w:t xml:space="preserve">1) </w:t>
      </w:r>
      <w:r w:rsidRPr="00BA4F6E">
        <w:t xml:space="preserve">la toma de apuntes y </w:t>
      </w:r>
      <w:r>
        <w:t xml:space="preserve">b) </w:t>
      </w:r>
      <w:r w:rsidRPr="00BA4F6E">
        <w:t>su posterior reformulación.</w:t>
      </w:r>
    </w:p>
    <w:p w:rsidR="00841512" w:rsidRPr="003339ED" w:rsidRDefault="00841512" w:rsidP="0076145D">
      <w:pPr>
        <w:spacing w:after="240" w:line="276" w:lineRule="auto"/>
        <w:ind w:firstLine="708"/>
        <w:jc w:val="both"/>
        <w:rPr>
          <w:bCs/>
          <w:iCs/>
          <w:lang w:val="es-ES_tradnl"/>
        </w:rPr>
      </w:pPr>
      <w:r w:rsidRPr="003339ED">
        <w:t xml:space="preserve">El marco teórico-metodológico que adoptamos parte de la concepción de la escritura como </w:t>
      </w:r>
      <w:r w:rsidRPr="0076145D">
        <w:rPr>
          <w:lang w:val="es-AR"/>
        </w:rPr>
        <w:t xml:space="preserve">proceso cognitivo, social y </w:t>
      </w:r>
      <w:r w:rsidRPr="0076145D">
        <w:t>semiótico</w:t>
      </w:r>
      <w:r w:rsidRPr="0076145D">
        <w:rPr>
          <w:lang w:val="es-AR"/>
        </w:rPr>
        <w:t>.</w:t>
      </w:r>
      <w:r w:rsidRPr="003339ED">
        <w:rPr>
          <w:lang w:val="es-AR"/>
        </w:rPr>
        <w:t xml:space="preserve"> L</w:t>
      </w:r>
      <w:r w:rsidRPr="003339ED">
        <w:t xml:space="preserve">os presupuestos teóricos que sustentan este enfoque despliegan la idea de escritura como proceso de producción y transformación del conocimiento en el marco del modelo retórico-cognitivo </w:t>
      </w:r>
      <w:r w:rsidRPr="003339ED">
        <w:rPr>
          <w:bCs/>
          <w:iCs/>
        </w:rPr>
        <w:t xml:space="preserve">(Linda Flower, 1979; Flower y John Hayes, 1996; Marlene Scardamalia y Carl Bereiter, 1992; Hayes, 1996).Estos estudios han desarrollado instrumentos para el desarrollo de programas de </w:t>
      </w:r>
      <w:r w:rsidRPr="003339ED">
        <w:t>alfabetización académica  en toda nuestra región</w:t>
      </w:r>
      <w:r>
        <w:rPr>
          <w:bCs/>
          <w:iCs/>
        </w:rPr>
        <w:t xml:space="preserve"> y particularmente, para guiar a los estudiantes en el pasaje</w:t>
      </w:r>
      <w:r w:rsidRPr="003339ED">
        <w:rPr>
          <w:bCs/>
          <w:iCs/>
        </w:rPr>
        <w:t xml:space="preserve"> de una escritura espontánea a una escritura madura. Un concepto teórico-metodológico fundamental de esta vertiente  es el de “situación retórica”. </w:t>
      </w:r>
      <w:r w:rsidRPr="003339ED">
        <w:rPr>
          <w:bCs/>
          <w:iCs/>
          <w:lang w:val="es-ES_tradnl"/>
        </w:rPr>
        <w:t xml:space="preserve">Desde estos fundamentos, tomar conciencia de la situación retórica es considerar </w:t>
      </w:r>
      <w:r w:rsidRPr="003339ED">
        <w:rPr>
          <w:bCs/>
          <w:iCs/>
        </w:rPr>
        <w:t xml:space="preserve">meta-cognitivamente, </w:t>
      </w:r>
      <w:r w:rsidRPr="003339ED">
        <w:rPr>
          <w:bCs/>
          <w:iCs/>
          <w:lang w:val="es-ES_tradnl"/>
        </w:rPr>
        <w:t xml:space="preserve">en cada caso, las estrategias necesarias para ajustarse al lenguaje al tema, objetivos, situación, género y construir una identidad apropiada del escritor y del lector. </w:t>
      </w:r>
    </w:p>
    <w:p w:rsidR="00841512" w:rsidRPr="003339ED" w:rsidRDefault="00841512" w:rsidP="0076145D">
      <w:pPr>
        <w:spacing w:after="240" w:line="276" w:lineRule="auto"/>
        <w:ind w:firstLine="708"/>
        <w:jc w:val="both"/>
      </w:pPr>
      <w:r w:rsidRPr="003339ED">
        <w:t xml:space="preserve">Complementamos esta perspectiva con el enfoque sociogenético (Silvestri: </w:t>
      </w:r>
      <w:r w:rsidRPr="003339ED">
        <w:rPr>
          <w:bCs/>
        </w:rPr>
        <w:t xml:space="preserve">1998, </w:t>
      </w:r>
      <w:r w:rsidRPr="003339ED">
        <w:t xml:space="preserve">2002) quien articula la dimensión cognoscitiva con la semiótica a través de la nociones de </w:t>
      </w:r>
      <w:r w:rsidRPr="003339ED">
        <w:rPr>
          <w:i/>
        </w:rPr>
        <w:t>conciencia semiótica</w:t>
      </w:r>
      <w:r w:rsidRPr="003339ED">
        <w:t xml:space="preserve"> y de </w:t>
      </w:r>
      <w:r w:rsidRPr="003339ED">
        <w:rPr>
          <w:i/>
        </w:rPr>
        <w:t>conciencia genérica</w:t>
      </w:r>
      <w:r w:rsidRPr="003339ED">
        <w:t xml:space="preserve">. Silvestri concibe al género discursivo no como un mero instrumento comunicacional sino como una herramienta semio-cognitiva y por lo tanto, social: </w:t>
      </w:r>
    </w:p>
    <w:p w:rsidR="00841512" w:rsidRPr="0009528A" w:rsidRDefault="00841512" w:rsidP="0076145D">
      <w:pPr>
        <w:spacing w:after="240" w:line="240" w:lineRule="atLeast"/>
        <w:jc w:val="both"/>
        <w:rPr>
          <w:sz w:val="22"/>
        </w:rPr>
      </w:pPr>
      <w:r>
        <w:tab/>
      </w:r>
      <w:r w:rsidRPr="006427F8">
        <w:rPr>
          <w:sz w:val="22"/>
        </w:rPr>
        <w:t xml:space="preserve">Además de funciones comunicativas, los géneros discursivos desempeñan </w:t>
      </w:r>
      <w:r w:rsidRPr="006427F8">
        <w:rPr>
          <w:sz w:val="22"/>
        </w:rPr>
        <w:tab/>
        <w:t xml:space="preserve">funciones cognitivas, es decir, permiten desarrollar procesos mentales vinculados a la </w:t>
      </w:r>
      <w:r>
        <w:rPr>
          <w:sz w:val="22"/>
        </w:rPr>
        <w:tab/>
      </w:r>
      <w:r w:rsidRPr="006427F8">
        <w:rPr>
          <w:sz w:val="22"/>
        </w:rPr>
        <w:t xml:space="preserve">adquisición y la construcción del conocimiento. Desde este punto de vista, también la </w:t>
      </w:r>
      <w:r>
        <w:rPr>
          <w:sz w:val="22"/>
        </w:rPr>
        <w:tab/>
      </w:r>
      <w:r w:rsidRPr="006427F8">
        <w:rPr>
          <w:sz w:val="22"/>
        </w:rPr>
        <w:t xml:space="preserve">falta de dominio de un género implica falta de dominio de los procesos </w:t>
      </w:r>
      <w:r>
        <w:rPr>
          <w:sz w:val="22"/>
        </w:rPr>
        <w:tab/>
      </w:r>
      <w:r w:rsidRPr="006427F8">
        <w:rPr>
          <w:sz w:val="22"/>
        </w:rPr>
        <w:t xml:space="preserve">cognitivos que </w:t>
      </w:r>
      <w:r>
        <w:rPr>
          <w:sz w:val="22"/>
        </w:rPr>
        <w:tab/>
      </w:r>
      <w:r w:rsidRPr="006427F8">
        <w:rPr>
          <w:sz w:val="22"/>
        </w:rPr>
        <w:t>dicho género vehiculiza</w:t>
      </w:r>
      <w:r w:rsidRPr="003339ED">
        <w:t xml:space="preserve"> (Silvestri: 1998, 14).</w:t>
      </w:r>
    </w:p>
    <w:p w:rsidR="00841512" w:rsidRPr="003339ED" w:rsidRDefault="00841512" w:rsidP="0076145D">
      <w:pPr>
        <w:spacing w:after="240" w:line="276" w:lineRule="auto"/>
        <w:ind w:firstLine="708"/>
        <w:jc w:val="both"/>
      </w:pPr>
      <w:r w:rsidRPr="003339ED">
        <w:t>Ahora bien, dada la índole del género que nos ocupa, es preciso extender la noción de alfabetización académica  a la de alfabetización semiótica, con el fin de poder encua</w:t>
      </w:r>
      <w:r>
        <w:t>drar géneros cuya configuración</w:t>
      </w:r>
      <w:r w:rsidRPr="003339ED">
        <w:t xml:space="preserve"> excede el lenguaje verbal/escrito.</w:t>
      </w:r>
      <w:r w:rsidRPr="003339ED">
        <w:rPr>
          <w:bCs/>
          <w:iCs/>
        </w:rPr>
        <w:t xml:space="preserve"> En efecto, el apunte es un texto plástico, plagado de marcas de diversa naturaleza y c</w:t>
      </w:r>
      <w:r>
        <w:rPr>
          <w:bCs/>
          <w:iCs/>
        </w:rPr>
        <w:t>uyo despliegue presenta significación</w:t>
      </w:r>
      <w:r w:rsidRPr="003339ED">
        <w:rPr>
          <w:bCs/>
          <w:iCs/>
        </w:rPr>
        <w:t>. Con el mismo argumento, complementaremos la noción de conciencia retórica</w:t>
      </w:r>
      <w:r>
        <w:rPr>
          <w:bCs/>
          <w:iCs/>
        </w:rPr>
        <w:t xml:space="preserve"> y genérica</w:t>
      </w:r>
      <w:r w:rsidRPr="003339ED">
        <w:rPr>
          <w:bCs/>
          <w:iCs/>
        </w:rPr>
        <w:t xml:space="preserve">, de la retórica cognitiva con la de </w:t>
      </w:r>
      <w:r w:rsidRPr="0076145D">
        <w:rPr>
          <w:bCs/>
          <w:i/>
          <w:iCs/>
          <w:lang w:val="es-ES_tradnl"/>
        </w:rPr>
        <w:t>conciencia semiótica</w:t>
      </w:r>
      <w:r w:rsidRPr="003339ED">
        <w:rPr>
          <w:bCs/>
          <w:iCs/>
          <w:lang w:val="es-ES_tradnl"/>
        </w:rPr>
        <w:t>.</w:t>
      </w:r>
    </w:p>
    <w:p w:rsidR="00841512" w:rsidRPr="003339ED" w:rsidRDefault="00841512" w:rsidP="0076145D">
      <w:pPr>
        <w:spacing w:after="240" w:line="276" w:lineRule="auto"/>
        <w:ind w:firstLine="708"/>
        <w:jc w:val="both"/>
        <w:rPr>
          <w:bCs/>
          <w:iCs/>
        </w:rPr>
      </w:pPr>
      <w:r w:rsidRPr="003339ED">
        <w:rPr>
          <w:bCs/>
          <w:iCs/>
          <w:lang w:val="es-ES_tradnl"/>
        </w:rPr>
        <w:t>Así, desde la concepción peirceana del signo, este no se agota en su dimensión lingüística sino que abarca, además del registro simbólico, el icónico</w:t>
      </w:r>
      <w:r>
        <w:rPr>
          <w:bCs/>
          <w:iCs/>
          <w:lang w:val="es-ES_tradnl"/>
        </w:rPr>
        <w:t xml:space="preserve"> y </w:t>
      </w:r>
      <w:r w:rsidRPr="003339ED">
        <w:rPr>
          <w:bCs/>
          <w:iCs/>
          <w:lang w:val="es-ES_tradnl"/>
        </w:rPr>
        <w:t xml:space="preserve">el indicial. Por su parte, </w:t>
      </w:r>
      <w:r w:rsidRPr="003339ED">
        <w:rPr>
          <w:bCs/>
          <w:iCs/>
        </w:rPr>
        <w:t xml:space="preserve">Maite Alvarado (1994), precursora en la didáctica de la lectura y la escritura desde la perspectiva retórico-congitiva, también fue pionera en la alfabetización semiótica al sistematizar el funcionamiento de la significación del nivel paratextual. Al articular las dimensiones icónica, indicial y verbal, explicó cómo los lectores orientan la interpretación en virtud de signos paratextuales. </w:t>
      </w:r>
    </w:p>
    <w:p w:rsidR="00841512" w:rsidRPr="00C4585A" w:rsidRDefault="00841512" w:rsidP="0076145D">
      <w:pPr>
        <w:spacing w:after="240" w:line="276" w:lineRule="auto"/>
        <w:ind w:firstLine="708"/>
        <w:jc w:val="both"/>
        <w:rPr>
          <w:bCs/>
          <w:iCs/>
        </w:rPr>
      </w:pPr>
      <w:r w:rsidRPr="003339ED">
        <w:rPr>
          <w:bCs/>
          <w:iCs/>
          <w:lang w:val="es-ES_tradnl"/>
        </w:rPr>
        <w:t xml:space="preserve">En </w:t>
      </w:r>
      <w:r>
        <w:rPr>
          <w:bCs/>
          <w:iCs/>
          <w:lang w:val="es-ES_tradnl"/>
        </w:rPr>
        <w:t>virtud de lo expuesto</w:t>
      </w:r>
      <w:r w:rsidRPr="003339ED">
        <w:rPr>
          <w:bCs/>
          <w:iCs/>
          <w:lang w:val="es-ES_tradnl"/>
        </w:rPr>
        <w:t xml:space="preserve">, la alfabetización semiótica implica considerar los aspectos semióticos de la lectura y la producción de géneros discursivos. </w:t>
      </w:r>
      <w:r w:rsidRPr="003339ED">
        <w:rPr>
          <w:bCs/>
          <w:iCs/>
        </w:rPr>
        <w:t>Partiendo de esta base, trataremos de identificar los elementos textuales y paratextuales de los apuntes de nuestro corpus en los tres registros expuestos por Charles Peirce: icónicos (cualitativos), indiciales (relacionales) y simbólicos (verbales).</w:t>
      </w:r>
    </w:p>
    <w:p w:rsidR="00841512" w:rsidRDefault="00841512" w:rsidP="0076145D">
      <w:pPr>
        <w:spacing w:after="240" w:line="276" w:lineRule="auto"/>
        <w:ind w:firstLine="708"/>
        <w:jc w:val="both"/>
      </w:pPr>
      <w:r w:rsidRPr="003339ED">
        <w:t xml:space="preserve">Finalmente, la actividad de reformulación del apunte exhibe no sólo la habilidad de vehiculizar por escrito contenidos específicos. En la reformulación del apunte se plasma la transformación de procesos materiales (gráficos, </w:t>
      </w:r>
      <w:r>
        <w:t>visuale</w:t>
      </w:r>
      <w:r w:rsidRPr="003339ED">
        <w:t xml:space="preserve">s, </w:t>
      </w:r>
      <w:r>
        <w:t>señal</w:t>
      </w:r>
      <w:r w:rsidRPr="003339ED">
        <w:t>es) en expresiones teóricas abstractas, buscando comunicarlos de manera clara y  precisa a través de recursos  complejos. En su despliegue semio-discursivo el escritor no sólo debe combinar un desarrollo explicativo y argumentativo que incluye el uso de términos especializados sino que debe transferir recursos</w:t>
      </w:r>
      <w:r>
        <w:t xml:space="preserve"> semióticos</w:t>
      </w:r>
      <w:r w:rsidRPr="003339ED">
        <w:t xml:space="preserve"> muy variados a un lenguaje formal. Esto expl</w:t>
      </w:r>
      <w:r>
        <w:t>ica hasta qué punto (</w:t>
      </w:r>
      <w:r w:rsidRPr="003339ED">
        <w:t xml:space="preserve"> </w:t>
      </w:r>
      <w:r>
        <w:t>S</w:t>
      </w:r>
      <w:r w:rsidRPr="003339ED">
        <w:t>ilvestri: 1998, 2002), el dominio de los géneros implica el control de las operaciones meta-cognitivas  a las que están asociados.</w:t>
      </w:r>
    </w:p>
    <w:p w:rsidR="00841512" w:rsidRPr="00C4585A" w:rsidRDefault="00841512" w:rsidP="0076145D">
      <w:pPr>
        <w:spacing w:after="240" w:line="276" w:lineRule="auto"/>
        <w:ind w:firstLine="708"/>
        <w:jc w:val="both"/>
      </w:pPr>
    </w:p>
    <w:p w:rsidR="00841512" w:rsidRPr="00932329" w:rsidRDefault="00841512" w:rsidP="003769A9">
      <w:pPr>
        <w:spacing w:after="240" w:line="276" w:lineRule="auto"/>
        <w:jc w:val="both"/>
        <w:outlineLvl w:val="0"/>
        <w:rPr>
          <w:b/>
        </w:rPr>
      </w:pPr>
      <w:r w:rsidRPr="00932329">
        <w:rPr>
          <w:b/>
        </w:rPr>
        <w:t>Desarrollo del taller</w:t>
      </w:r>
    </w:p>
    <w:p w:rsidR="00841512" w:rsidRPr="00BA4F6E" w:rsidRDefault="00841512" w:rsidP="0078182A">
      <w:pPr>
        <w:spacing w:after="240" w:line="276" w:lineRule="auto"/>
        <w:ind w:firstLine="708"/>
        <w:jc w:val="both"/>
      </w:pPr>
      <w:r w:rsidRPr="00BA4F6E">
        <w:t>La actividad que planteamos en este taller consiste en  socializar entre docentes, una experiencia áulica  pensada para fomentar en estudiantes, habilidades para el dominio de la toma de apuntes en el desarrollo de sus vidas universitarias. Con ese fin se prevén los siguientes momentos:</w:t>
      </w:r>
    </w:p>
    <w:p w:rsidR="00841512" w:rsidRPr="00BA4F6E" w:rsidRDefault="00841512" w:rsidP="007D632A">
      <w:pPr>
        <w:pStyle w:val="yiv0570792525msonormal"/>
        <w:shd w:val="clear" w:color="auto" w:fill="FFFFFF"/>
        <w:spacing w:before="0" w:beforeAutospacing="0" w:after="0" w:afterAutospacing="0"/>
        <w:rPr>
          <w:b/>
          <w:bCs/>
          <w:szCs w:val="18"/>
        </w:rPr>
      </w:pPr>
      <w:r w:rsidRPr="00BA4F6E">
        <w:rPr>
          <w:b/>
          <w:bCs/>
          <w:szCs w:val="18"/>
        </w:rPr>
        <w:t>1. Introducción</w:t>
      </w:r>
    </w:p>
    <w:p w:rsidR="00841512" w:rsidRPr="00BA4F6E" w:rsidRDefault="00841512" w:rsidP="007D632A">
      <w:pPr>
        <w:pStyle w:val="yiv0570792525msonormal"/>
        <w:shd w:val="clear" w:color="auto" w:fill="FFFFFF"/>
        <w:spacing w:before="0" w:beforeAutospacing="0" w:after="0" w:afterAutospacing="0"/>
        <w:rPr>
          <w:rFonts w:ascii="Calibri" w:hAnsi="Calibri"/>
          <w:szCs w:val="18"/>
        </w:rPr>
      </w:pPr>
    </w:p>
    <w:p w:rsidR="00841512" w:rsidRPr="00BA4F6E" w:rsidRDefault="00841512" w:rsidP="0078182A">
      <w:pPr>
        <w:pStyle w:val="yiv0570792525msonormal"/>
        <w:shd w:val="clear" w:color="auto" w:fill="FFFFFF"/>
        <w:spacing w:before="0" w:beforeAutospacing="0" w:after="0" w:afterAutospacing="0"/>
        <w:ind w:firstLine="708"/>
        <w:jc w:val="both"/>
        <w:rPr>
          <w:rFonts w:ascii="Calibri" w:hAnsi="Calibri"/>
          <w:szCs w:val="18"/>
        </w:rPr>
      </w:pPr>
      <w:r w:rsidRPr="00BA4F6E">
        <w:rPr>
          <w:bCs/>
          <w:szCs w:val="18"/>
        </w:rPr>
        <w:t>En esta introducción se presentará la lectura de cuatro fragmentos de apuntes universitarios</w:t>
      </w:r>
      <w:r>
        <w:rPr>
          <w:bCs/>
          <w:szCs w:val="18"/>
        </w:rPr>
        <w:t xml:space="preserve"> </w:t>
      </w:r>
      <w:r w:rsidRPr="00BA4F6E">
        <w:rPr>
          <w:bCs/>
          <w:szCs w:val="18"/>
        </w:rPr>
        <w:t>-</w:t>
      </w:r>
      <w:r>
        <w:rPr>
          <w:bCs/>
          <w:szCs w:val="18"/>
        </w:rPr>
        <w:t xml:space="preserve"> </w:t>
      </w:r>
      <w:r w:rsidRPr="00BA4F6E">
        <w:rPr>
          <w:bCs/>
          <w:szCs w:val="18"/>
        </w:rPr>
        <w:t xml:space="preserve">tres de ellos, canónicamente estudiados en los </w:t>
      </w:r>
      <w:r>
        <w:rPr>
          <w:bCs/>
          <w:szCs w:val="18"/>
        </w:rPr>
        <w:t xml:space="preserve">cursos de </w:t>
      </w:r>
      <w:r w:rsidRPr="00BA4F6E">
        <w:rPr>
          <w:bCs/>
          <w:szCs w:val="18"/>
        </w:rPr>
        <w:t>ingreso</w:t>
      </w:r>
      <w:r>
        <w:rPr>
          <w:bCs/>
          <w:szCs w:val="18"/>
        </w:rPr>
        <w:t xml:space="preserve"> universitario</w:t>
      </w:r>
      <w:r w:rsidRPr="00BA4F6E">
        <w:rPr>
          <w:bCs/>
          <w:szCs w:val="18"/>
        </w:rPr>
        <w:t>s</w:t>
      </w:r>
      <w:r>
        <w:rPr>
          <w:bCs/>
          <w:szCs w:val="18"/>
        </w:rPr>
        <w:t xml:space="preserve"> </w:t>
      </w:r>
      <w:r w:rsidRPr="00BA4F6E">
        <w:rPr>
          <w:bCs/>
          <w:szCs w:val="18"/>
        </w:rPr>
        <w:t>-</w:t>
      </w:r>
      <w:r>
        <w:rPr>
          <w:bCs/>
          <w:szCs w:val="18"/>
        </w:rPr>
        <w:t xml:space="preserve"> </w:t>
      </w:r>
      <w:r w:rsidRPr="00BA4F6E">
        <w:rPr>
          <w:bCs/>
          <w:szCs w:val="18"/>
        </w:rPr>
        <w:t>a modo de disparador para evaluar la importancia de un género hasta el momento poco estudiado.</w:t>
      </w:r>
    </w:p>
    <w:p w:rsidR="00841512" w:rsidRPr="00BA4F6E" w:rsidRDefault="00841512" w:rsidP="007D632A">
      <w:pPr>
        <w:pStyle w:val="yiv0570792525msonormal"/>
        <w:shd w:val="clear" w:color="auto" w:fill="FFFFFF"/>
        <w:spacing w:before="0" w:beforeAutospacing="0" w:after="0" w:afterAutospacing="0"/>
        <w:rPr>
          <w:rFonts w:ascii="Calibri" w:hAnsi="Calibri"/>
          <w:szCs w:val="18"/>
        </w:rPr>
      </w:pPr>
      <w:r w:rsidRPr="00BA4F6E">
        <w:rPr>
          <w:rFonts w:ascii="Calibri" w:hAnsi="Calibri"/>
          <w:szCs w:val="18"/>
        </w:rPr>
        <w:t> </w:t>
      </w:r>
    </w:p>
    <w:p w:rsidR="00841512" w:rsidRPr="00BA4F6E" w:rsidRDefault="00841512" w:rsidP="007D632A">
      <w:pPr>
        <w:pStyle w:val="yiv0570792525msonormal"/>
        <w:shd w:val="clear" w:color="auto" w:fill="FFFFFF"/>
        <w:spacing w:before="0" w:beforeAutospacing="0" w:after="0" w:afterAutospacing="0"/>
        <w:rPr>
          <w:rFonts w:ascii="Calibri" w:hAnsi="Calibri"/>
          <w:szCs w:val="18"/>
        </w:rPr>
      </w:pPr>
      <w:r w:rsidRPr="00BA4F6E">
        <w:rPr>
          <w:bCs/>
          <w:szCs w:val="18"/>
        </w:rPr>
        <w:t>1.1. Disparador: “Llevar el apunte”</w:t>
      </w:r>
    </w:p>
    <w:p w:rsidR="00841512" w:rsidRPr="00BA4F6E" w:rsidRDefault="00841512" w:rsidP="007D632A">
      <w:pPr>
        <w:pStyle w:val="yiv0570792525msolistparagraph"/>
        <w:shd w:val="clear" w:color="auto" w:fill="FFFFFF"/>
        <w:spacing w:before="0" w:beforeAutospacing="0" w:after="0" w:afterAutospacing="0"/>
        <w:ind w:left="720"/>
        <w:rPr>
          <w:rFonts w:ascii="Courier New" w:hAnsi="Courier New" w:cs="Courier New"/>
          <w:szCs w:val="18"/>
        </w:rPr>
      </w:pPr>
    </w:p>
    <w:p w:rsidR="00841512" w:rsidRPr="00BA4F6E" w:rsidRDefault="00841512" w:rsidP="007D632A">
      <w:pPr>
        <w:pStyle w:val="yiv0570792525msolistparagraph"/>
        <w:numPr>
          <w:ilvl w:val="0"/>
          <w:numId w:val="4"/>
        </w:numPr>
        <w:shd w:val="clear" w:color="auto" w:fill="FFFFFF"/>
        <w:spacing w:before="0" w:beforeAutospacing="0" w:after="0" w:afterAutospacing="0"/>
        <w:rPr>
          <w:szCs w:val="18"/>
        </w:rPr>
      </w:pPr>
      <w:r w:rsidRPr="00BA4F6E">
        <w:rPr>
          <w:szCs w:val="18"/>
        </w:rPr>
        <w:t>Fragmento  de Saussure</w:t>
      </w:r>
      <w:r w:rsidRPr="00BA4F6E">
        <w:rPr>
          <w:rStyle w:val="apple-converted-space"/>
          <w:szCs w:val="18"/>
        </w:rPr>
        <w:t> </w:t>
      </w:r>
      <w:r w:rsidRPr="00BA4F6E">
        <w:rPr>
          <w:szCs w:val="18"/>
        </w:rPr>
        <w:t>([1916] 1979)</w:t>
      </w:r>
      <w:r w:rsidRPr="00BA4F6E">
        <w:rPr>
          <w:rStyle w:val="apple-converted-space"/>
          <w:szCs w:val="18"/>
        </w:rPr>
        <w:t> </w:t>
      </w:r>
      <w:r w:rsidRPr="00C4585A">
        <w:rPr>
          <w:i/>
          <w:iCs/>
          <w:szCs w:val="18"/>
        </w:rPr>
        <w:t>Cours de lingüistique general</w:t>
      </w:r>
      <w:r w:rsidRPr="00BA4F6E">
        <w:rPr>
          <w:rStyle w:val="apple-converted-space"/>
          <w:iCs/>
          <w:szCs w:val="18"/>
        </w:rPr>
        <w:t> </w:t>
      </w:r>
      <w:r w:rsidRPr="00BA4F6E">
        <w:rPr>
          <w:szCs w:val="18"/>
        </w:rPr>
        <w:t>(apuntes recopilados por sus estudiantes Charles Bally y Albert Sechehaye).</w:t>
      </w:r>
    </w:p>
    <w:p w:rsidR="00841512" w:rsidRPr="00BA4F6E" w:rsidRDefault="00841512" w:rsidP="007D632A">
      <w:pPr>
        <w:pStyle w:val="yiv0570792525msolistparagraph"/>
        <w:numPr>
          <w:ilvl w:val="0"/>
          <w:numId w:val="4"/>
        </w:numPr>
        <w:shd w:val="clear" w:color="auto" w:fill="FFFFFF"/>
        <w:spacing w:before="0" w:beforeAutospacing="0" w:after="0" w:afterAutospacing="0"/>
        <w:rPr>
          <w:rFonts w:ascii="Calibri" w:hAnsi="Calibri"/>
          <w:szCs w:val="18"/>
        </w:rPr>
      </w:pPr>
      <w:r w:rsidRPr="00BA4F6E">
        <w:t>Fragmento de</w:t>
      </w:r>
      <w:r w:rsidRPr="00BA4F6E">
        <w:rPr>
          <w:rStyle w:val="apple-converted-space"/>
          <w:szCs w:val="18"/>
        </w:rPr>
        <w:t> </w:t>
      </w:r>
      <w:r w:rsidRPr="00BA4F6E">
        <w:t>Charles</w:t>
      </w:r>
      <w:r w:rsidRPr="00BA4F6E">
        <w:rPr>
          <w:rStyle w:val="apple-converted-space"/>
          <w:szCs w:val="18"/>
        </w:rPr>
        <w:t> </w:t>
      </w:r>
      <w:r w:rsidRPr="00BA4F6E">
        <w:t>Peirce (Manuscrito Nº 40: marzo-diciembre de 1867).</w:t>
      </w:r>
    </w:p>
    <w:p w:rsidR="00841512" w:rsidRPr="00BA4F6E" w:rsidRDefault="00841512" w:rsidP="007D632A">
      <w:pPr>
        <w:pStyle w:val="yiv0570792525msolistparagraphcxsplast"/>
        <w:numPr>
          <w:ilvl w:val="0"/>
          <w:numId w:val="4"/>
        </w:numPr>
        <w:shd w:val="clear" w:color="auto" w:fill="FFFFFF"/>
        <w:spacing w:before="0" w:beforeAutospacing="0" w:after="0" w:afterAutospacing="0"/>
        <w:rPr>
          <w:rFonts w:ascii="Calibri" w:hAnsi="Calibri"/>
          <w:szCs w:val="18"/>
        </w:rPr>
      </w:pPr>
      <w:r w:rsidRPr="00BA4F6E">
        <w:t>Fragmento de El problema del texto en la lingüística, la filología y otras ciencias humanas, de Mijail</w:t>
      </w:r>
      <w:r>
        <w:t xml:space="preserve"> </w:t>
      </w:r>
      <w:r w:rsidRPr="00BA4F6E">
        <w:t>Bajtín. (Apuntes escritos entre 1959 y 1961 publicados por primera vez por Voprosy</w:t>
      </w:r>
      <w:r>
        <w:t xml:space="preserve">  </w:t>
      </w:r>
      <w:r w:rsidRPr="00BA4F6E">
        <w:t>Literatury con el título de El problema del texto y recopilado en Estética de la creación verbal)</w:t>
      </w:r>
    </w:p>
    <w:p w:rsidR="00841512" w:rsidRPr="00BA4F6E" w:rsidRDefault="00841512" w:rsidP="007D632A">
      <w:pPr>
        <w:pStyle w:val="yiv0570792525msolistparagraphcxsplast"/>
        <w:numPr>
          <w:ilvl w:val="0"/>
          <w:numId w:val="4"/>
        </w:numPr>
        <w:shd w:val="clear" w:color="auto" w:fill="FFFFFF"/>
        <w:spacing w:before="0" w:beforeAutospacing="0" w:after="0" w:afterAutospacing="0"/>
        <w:rPr>
          <w:rFonts w:ascii="Calibri" w:hAnsi="Calibri"/>
          <w:szCs w:val="18"/>
        </w:rPr>
      </w:pPr>
      <w:r w:rsidRPr="00BA4F6E">
        <w:t>Fragmento</w:t>
      </w:r>
      <w:r>
        <w:t>s</w:t>
      </w:r>
      <w:r w:rsidRPr="00BA4F6E">
        <w:t xml:space="preserve"> de </w:t>
      </w:r>
      <w:r w:rsidRPr="00BA4F6E">
        <w:rPr>
          <w:rStyle w:val="apple-converted-space"/>
          <w:szCs w:val="18"/>
        </w:rPr>
        <w:t> </w:t>
      </w:r>
      <w:r w:rsidRPr="00BA4F6E">
        <w:t>Apuntes de estudiantes del ingreso a la Universidad</w:t>
      </w:r>
      <w:r>
        <w:rPr>
          <w:rStyle w:val="apple-converted-space"/>
          <w:szCs w:val="18"/>
        </w:rPr>
        <w:t>.</w:t>
      </w:r>
    </w:p>
    <w:p w:rsidR="00841512" w:rsidRDefault="00841512" w:rsidP="0078182A">
      <w:pPr>
        <w:spacing w:after="240" w:line="276" w:lineRule="auto"/>
        <w:jc w:val="both"/>
        <w:outlineLvl w:val="0"/>
        <w:rPr>
          <w:b/>
        </w:rPr>
      </w:pPr>
    </w:p>
    <w:p w:rsidR="00841512" w:rsidRDefault="00841512" w:rsidP="0078182A">
      <w:pPr>
        <w:spacing w:after="240" w:line="276" w:lineRule="auto"/>
        <w:jc w:val="both"/>
        <w:outlineLvl w:val="0"/>
      </w:pPr>
      <w:r>
        <w:t>1.2. Diálogo abierto.</w:t>
      </w:r>
    </w:p>
    <w:p w:rsidR="00841512" w:rsidRDefault="00841512" w:rsidP="006F6BD2">
      <w:pPr>
        <w:spacing w:after="240" w:line="276" w:lineRule="auto"/>
        <w:jc w:val="both"/>
      </w:pPr>
    </w:p>
    <w:p w:rsidR="00841512" w:rsidRPr="00932329" w:rsidRDefault="00841512" w:rsidP="003769A9">
      <w:pPr>
        <w:spacing w:after="240" w:line="276" w:lineRule="auto"/>
        <w:jc w:val="both"/>
        <w:outlineLvl w:val="0"/>
        <w:rPr>
          <w:b/>
        </w:rPr>
      </w:pPr>
      <w:r w:rsidRPr="00932329">
        <w:rPr>
          <w:b/>
        </w:rPr>
        <w:t>2. Desarrollo. Didáctica del apunte</w:t>
      </w:r>
    </w:p>
    <w:p w:rsidR="00841512" w:rsidRDefault="00841512" w:rsidP="006F6BD2">
      <w:pPr>
        <w:spacing w:after="240" w:line="276" w:lineRule="auto"/>
        <w:jc w:val="both"/>
      </w:pPr>
      <w:r>
        <w:t>2.1. Caracterización del género. Aspectos semio-discursivos relevantes (toma de apuntes por parte de los asistentes).</w:t>
      </w:r>
    </w:p>
    <w:p w:rsidR="00841512" w:rsidRDefault="00841512" w:rsidP="006F6BD2">
      <w:pPr>
        <w:spacing w:after="240" w:line="276" w:lineRule="auto"/>
        <w:jc w:val="both"/>
      </w:pPr>
      <w:r>
        <w:t>2.2. Actividad en base a consigna realizada en el Taller de Lectoescritura del COPRUN.</w:t>
      </w:r>
    </w:p>
    <w:p w:rsidR="00841512" w:rsidRDefault="00841512" w:rsidP="006F6BD2">
      <w:pPr>
        <w:spacing w:after="240" w:line="276" w:lineRule="auto"/>
        <w:jc w:val="both"/>
      </w:pPr>
      <w:r>
        <w:t>2.3. Descripción de consigna: Etapas a) Toma de apuntes (escucha/escritura) y b) Reescritura (reformulación).</w:t>
      </w:r>
    </w:p>
    <w:p w:rsidR="00841512" w:rsidRDefault="00841512" w:rsidP="006F6BD2">
      <w:pPr>
        <w:spacing w:after="240" w:line="276" w:lineRule="auto"/>
        <w:jc w:val="both"/>
      </w:pPr>
      <w:r>
        <w:t>2.4. Análisis de casos.</w:t>
      </w:r>
    </w:p>
    <w:p w:rsidR="00841512" w:rsidRDefault="00841512" w:rsidP="006F6BD2">
      <w:pPr>
        <w:spacing w:after="240" w:line="276" w:lineRule="auto"/>
        <w:jc w:val="both"/>
      </w:pPr>
    </w:p>
    <w:p w:rsidR="00841512" w:rsidRPr="00932329" w:rsidRDefault="00841512" w:rsidP="003769A9">
      <w:pPr>
        <w:spacing w:after="240" w:line="276" w:lineRule="auto"/>
        <w:jc w:val="both"/>
        <w:outlineLvl w:val="0"/>
        <w:rPr>
          <w:b/>
        </w:rPr>
      </w:pPr>
      <w:r w:rsidRPr="00932329">
        <w:rPr>
          <w:b/>
        </w:rPr>
        <w:t>3. Cierre</w:t>
      </w:r>
    </w:p>
    <w:p w:rsidR="00841512" w:rsidRDefault="00841512" w:rsidP="006F6BD2">
      <w:pPr>
        <w:spacing w:after="240" w:line="276" w:lineRule="auto"/>
        <w:jc w:val="both"/>
      </w:pPr>
      <w:r>
        <w:t>3.1. Actividad en base a un ejercicio áulico con apuntes de los participantes del taller.</w:t>
      </w:r>
    </w:p>
    <w:p w:rsidR="00841512" w:rsidRDefault="00841512" w:rsidP="006F6BD2">
      <w:pPr>
        <w:spacing w:after="240" w:line="276" w:lineRule="auto"/>
        <w:jc w:val="both"/>
      </w:pPr>
      <w:r>
        <w:t>3.1.1. Recuperación escrita de aspectos individuales relevantes. Sentido de la relevancia para sí.</w:t>
      </w:r>
    </w:p>
    <w:p w:rsidR="00841512" w:rsidRDefault="00841512" w:rsidP="006F6BD2">
      <w:pPr>
        <w:spacing w:after="240" w:line="276" w:lineRule="auto"/>
        <w:jc w:val="both"/>
      </w:pPr>
      <w:r>
        <w:t>3.1.2. Re-construcción colectiva de la clase a partir de los apuntes tomados. Sentido de la relevancia comunitaria.</w:t>
      </w:r>
    </w:p>
    <w:p w:rsidR="00841512" w:rsidRDefault="00841512" w:rsidP="006F6BD2">
      <w:pPr>
        <w:spacing w:after="240" w:line="276" w:lineRule="auto"/>
        <w:jc w:val="both"/>
      </w:pPr>
      <w:r>
        <w:t>3.2. Conclusiones</w:t>
      </w:r>
    </w:p>
    <w:p w:rsidR="00841512" w:rsidRDefault="00841512" w:rsidP="003769A9">
      <w:pPr>
        <w:spacing w:after="240" w:line="276" w:lineRule="auto"/>
        <w:jc w:val="both"/>
        <w:outlineLvl w:val="0"/>
        <w:rPr>
          <w:b/>
        </w:rPr>
      </w:pPr>
    </w:p>
    <w:p w:rsidR="00841512" w:rsidRPr="003339ED" w:rsidRDefault="00841512" w:rsidP="003769A9">
      <w:pPr>
        <w:spacing w:after="240" w:line="276" w:lineRule="auto"/>
        <w:jc w:val="both"/>
        <w:outlineLvl w:val="0"/>
        <w:rPr>
          <w:b/>
        </w:rPr>
      </w:pPr>
      <w:r w:rsidRPr="003339ED">
        <w:rPr>
          <w:b/>
        </w:rPr>
        <w:t>Bibliografía</w:t>
      </w:r>
    </w:p>
    <w:p w:rsidR="00841512" w:rsidRDefault="00841512" w:rsidP="0005073D">
      <w:pPr>
        <w:spacing w:after="240" w:line="276" w:lineRule="auto"/>
        <w:jc w:val="both"/>
      </w:pPr>
      <w:r w:rsidRPr="0005073D">
        <w:rPr>
          <w:lang w:val="es-AR"/>
        </w:rPr>
        <w:t xml:space="preserve">Alvarado, Maite (2011), </w:t>
      </w:r>
      <w:r w:rsidRPr="0005073D">
        <w:rPr>
          <w:i/>
          <w:iCs/>
          <w:lang w:val="es-AR"/>
        </w:rPr>
        <w:t>Paratexto</w:t>
      </w:r>
      <w:r w:rsidRPr="0005073D">
        <w:rPr>
          <w:lang w:val="es-AR"/>
        </w:rPr>
        <w:t>, Buenos Aires, Instituto de Lingüística, Facultad de Filosofía y Letras, Cátedra de Semiología y Oficina de Publicaciones, Ciclo Básico Común, Universidad de Buenos Aires. Disponible en https://taller</w:t>
      </w:r>
      <w:r w:rsidRPr="0005073D">
        <w:rPr>
          <w:lang w:val="es-AR"/>
        </w:rPr>
        <w:softHyphen/>
        <w:t>produccionoralyescrita.files.wordpress.com/2011/03/paratexto-maite-alvarado.pdf.</w:t>
      </w:r>
    </w:p>
    <w:p w:rsidR="00841512" w:rsidRPr="0005073D" w:rsidRDefault="00841512" w:rsidP="0005073D">
      <w:pPr>
        <w:spacing w:after="240" w:line="276" w:lineRule="auto"/>
        <w:jc w:val="both"/>
        <w:rPr>
          <w:lang w:val="es-AR"/>
        </w:rPr>
      </w:pPr>
      <w:r w:rsidRPr="0005073D">
        <w:rPr>
          <w:lang w:val="es-AR"/>
        </w:rPr>
        <w:t>Alvarado, Maite y Marina Cortés (1999), “La escritura en la universidad. Repetir o transformar”, II Jornadas Académicas de la Carrera de Ciencias de la Comunicación, noviembre de 1999.</w:t>
      </w:r>
    </w:p>
    <w:p w:rsidR="00841512" w:rsidRDefault="00841512" w:rsidP="006F6BD2">
      <w:pPr>
        <w:spacing w:after="240" w:line="276" w:lineRule="auto"/>
        <w:jc w:val="both"/>
        <w:rPr>
          <w:lang w:val="es-AR"/>
        </w:rPr>
      </w:pPr>
      <w:r w:rsidRPr="0005073D">
        <w:rPr>
          <w:lang w:val="es-AR"/>
        </w:rPr>
        <w:t xml:space="preserve">Arnoux, Elvira Narvaja de, Mariana Di Stefano y Cecilia Pereira (2011), </w:t>
      </w:r>
      <w:r w:rsidRPr="0005073D">
        <w:rPr>
          <w:i/>
          <w:iCs/>
          <w:lang w:val="es-AR"/>
        </w:rPr>
        <w:t>La lectura y la escritura en la universidad</w:t>
      </w:r>
      <w:r w:rsidRPr="0005073D">
        <w:rPr>
          <w:lang w:val="es-AR"/>
        </w:rPr>
        <w:t>, Bue</w:t>
      </w:r>
      <w:r w:rsidRPr="0005073D">
        <w:rPr>
          <w:lang w:val="es-AR"/>
        </w:rPr>
        <w:softHyphen/>
        <w:t xml:space="preserve">nos Aires, EUDEBA. </w:t>
      </w:r>
    </w:p>
    <w:p w:rsidR="00841512" w:rsidRDefault="00841512" w:rsidP="0005073D">
      <w:pPr>
        <w:spacing w:after="240" w:line="276" w:lineRule="auto"/>
        <w:jc w:val="both"/>
      </w:pPr>
      <w:r>
        <w:t>Bajtin, Mjail</w:t>
      </w:r>
      <w:r w:rsidRPr="0005073D">
        <w:t xml:space="preserve"> (1982), “El problema de los géneros discursivos” en </w:t>
      </w:r>
      <w:r w:rsidRPr="0005073D">
        <w:rPr>
          <w:i/>
        </w:rPr>
        <w:t>La estética de la creación verbal.</w:t>
      </w:r>
      <w:r w:rsidRPr="0005073D">
        <w:t xml:space="preserve"> México, Siglo XXI.  </w:t>
      </w:r>
    </w:p>
    <w:p w:rsidR="00841512" w:rsidRPr="0005073D" w:rsidRDefault="00841512" w:rsidP="0005073D">
      <w:pPr>
        <w:spacing w:after="240" w:line="276" w:lineRule="auto"/>
        <w:jc w:val="both"/>
        <w:rPr>
          <w:bCs/>
        </w:rPr>
      </w:pPr>
      <w:r w:rsidRPr="0005073D">
        <w:rPr>
          <w:bCs/>
        </w:rPr>
        <w:t>Bereiter, Carl y Marlene Scardamalia(1992), “Dos modelos explicativos de los procesos de composición escrita”, en rev.</w:t>
      </w:r>
      <w:r w:rsidRPr="0005073D">
        <w:rPr>
          <w:bCs/>
          <w:i/>
        </w:rPr>
        <w:t>Infancia y Aprendizaje</w:t>
      </w:r>
      <w:r w:rsidRPr="0005073D">
        <w:rPr>
          <w:bCs/>
        </w:rPr>
        <w:t xml:space="preserve"> Nº 58 (43-64). </w:t>
      </w:r>
    </w:p>
    <w:p w:rsidR="00841512" w:rsidRDefault="00841512" w:rsidP="006F6BD2">
      <w:pPr>
        <w:spacing w:after="240" w:line="276" w:lineRule="auto"/>
        <w:jc w:val="both"/>
        <w:rPr>
          <w:lang w:val="es-AR"/>
        </w:rPr>
      </w:pPr>
      <w:r>
        <w:rPr>
          <w:lang w:val="es-ES_tradnl"/>
        </w:rPr>
        <w:t>Bitonte, María Elena (</w:t>
      </w:r>
      <w:r w:rsidRPr="001D181E">
        <w:rPr>
          <w:lang w:val="es-ES_tradnl"/>
        </w:rPr>
        <w:t>2017</w:t>
      </w:r>
      <w:r>
        <w:rPr>
          <w:lang w:val="es-ES_tradnl"/>
        </w:rPr>
        <w:t>)“</w:t>
      </w:r>
      <w:r w:rsidRPr="001D181E">
        <w:rPr>
          <w:lang w:val="es-AR"/>
        </w:rPr>
        <w:t>Taller de lectoescritura académica 2017: Curso de orientación y preparación universitaria</w:t>
      </w:r>
      <w:r>
        <w:rPr>
          <w:lang w:val="es-AR"/>
        </w:rPr>
        <w:t>”,</w:t>
      </w:r>
      <w:r w:rsidRPr="001D181E">
        <w:rPr>
          <w:lang w:val="es-AR"/>
        </w:rPr>
        <w:t xml:space="preserve"> Moreno</w:t>
      </w:r>
      <w:r>
        <w:rPr>
          <w:lang w:val="es-AR"/>
        </w:rPr>
        <w:t>, UNM Editora</w:t>
      </w:r>
      <w:r w:rsidRPr="001D181E">
        <w:rPr>
          <w:lang w:val="es-AR"/>
        </w:rPr>
        <w:t>. Biblioteca Coprun. ISBN 978-987-3700-21-7.</w:t>
      </w:r>
    </w:p>
    <w:p w:rsidR="00841512" w:rsidRPr="00B3735F" w:rsidRDefault="00841512" w:rsidP="003D3FBC">
      <w:pPr>
        <w:spacing w:line="360" w:lineRule="auto"/>
        <w:jc w:val="both"/>
      </w:pPr>
      <w:r>
        <w:rPr>
          <w:lang w:val="es-AR"/>
        </w:rPr>
        <w:t>_______</w:t>
      </w:r>
      <w:r>
        <w:t>(</w:t>
      </w:r>
      <w:r w:rsidRPr="00B3735F">
        <w:t>2012</w:t>
      </w:r>
      <w:r>
        <w:t>)</w:t>
      </w:r>
      <w:r w:rsidRPr="00B3735F">
        <w:t xml:space="preserve">, </w:t>
      </w:r>
      <w:r w:rsidRPr="00B10F9A">
        <w:rPr>
          <w:i/>
        </w:rPr>
        <w:t xml:space="preserve">Huellas y proyecciones de un modelo epistemológico indicial, </w:t>
      </w:r>
      <w:r w:rsidRPr="00B3735F">
        <w:t>Berlin, EAE (Editorial Académica Española)</w:t>
      </w:r>
      <w:r>
        <w:t>.</w:t>
      </w:r>
    </w:p>
    <w:p w:rsidR="00841512" w:rsidRPr="0005073D" w:rsidRDefault="00841512" w:rsidP="0005073D">
      <w:pPr>
        <w:spacing w:after="240" w:line="276" w:lineRule="auto"/>
        <w:jc w:val="both"/>
        <w:rPr>
          <w:bCs/>
          <w:lang w:val="en-US"/>
        </w:rPr>
      </w:pPr>
      <w:r w:rsidRPr="0005073D">
        <w:rPr>
          <w:bCs/>
          <w:lang w:val="en-US"/>
        </w:rPr>
        <w:t xml:space="preserve">Flower, Linda </w:t>
      </w:r>
      <w:r>
        <w:rPr>
          <w:bCs/>
          <w:lang w:val="en-US"/>
        </w:rPr>
        <w:t>(1979)</w:t>
      </w:r>
      <w:r w:rsidRPr="0005073D">
        <w:rPr>
          <w:bCs/>
          <w:lang w:val="en-US"/>
        </w:rPr>
        <w:t xml:space="preserve">,"Writer-based prose: A cognitive basis for problems in writing", College English, 41, 1. </w:t>
      </w:r>
    </w:p>
    <w:p w:rsidR="00841512" w:rsidRPr="0005073D" w:rsidRDefault="00841512" w:rsidP="0005073D">
      <w:pPr>
        <w:spacing w:after="240" w:line="276" w:lineRule="auto"/>
        <w:jc w:val="both"/>
        <w:rPr>
          <w:bCs/>
        </w:rPr>
      </w:pPr>
      <w:r w:rsidRPr="0005073D">
        <w:rPr>
          <w:bCs/>
        </w:rPr>
        <w:t>Flower</w:t>
      </w:r>
      <w:r>
        <w:rPr>
          <w:bCs/>
        </w:rPr>
        <w:t>, Linda</w:t>
      </w:r>
      <w:r w:rsidRPr="0005073D">
        <w:rPr>
          <w:bCs/>
        </w:rPr>
        <w:t xml:space="preserve"> y</w:t>
      </w:r>
      <w:r>
        <w:rPr>
          <w:bCs/>
        </w:rPr>
        <w:t xml:space="preserve"> John</w:t>
      </w:r>
      <w:r w:rsidRPr="0005073D">
        <w:rPr>
          <w:bCs/>
        </w:rPr>
        <w:t xml:space="preserve"> Hayes (1996), "Teoría de la redacción como proceso cognitivo", en </w:t>
      </w:r>
      <w:r w:rsidRPr="0005073D">
        <w:rPr>
          <w:bCs/>
          <w:i/>
        </w:rPr>
        <w:t>Textos en contexto</w:t>
      </w:r>
      <w:r w:rsidRPr="0005073D">
        <w:rPr>
          <w:bCs/>
        </w:rPr>
        <w:t>, Buenos Aires, Lectura y vida.</w:t>
      </w:r>
    </w:p>
    <w:p w:rsidR="00841512" w:rsidRPr="0005073D" w:rsidRDefault="00841512" w:rsidP="0005073D">
      <w:pPr>
        <w:spacing w:after="240" w:line="276" w:lineRule="auto"/>
        <w:jc w:val="both"/>
        <w:rPr>
          <w:lang w:val="es-AR"/>
        </w:rPr>
      </w:pPr>
      <w:r w:rsidRPr="0005073D">
        <w:rPr>
          <w:lang w:val="es-AR"/>
        </w:rPr>
        <w:t>García Negroni, María Marta (2009), “Reformulación parafrástica y no parafrástica y ethos discursivo en la escritura académica en español. Contrastes entre escritura experta y escritura universitaria avanzada” en Letras de Hoje, Porto Alegre, v. 44, n. 1, p. 46-56, jan./mar. 2009</w:t>
      </w:r>
    </w:p>
    <w:p w:rsidR="00841512" w:rsidRDefault="00841512" w:rsidP="0005073D">
      <w:pPr>
        <w:spacing w:after="240" w:line="276" w:lineRule="auto"/>
        <w:jc w:val="both"/>
        <w:rPr>
          <w:bCs/>
        </w:rPr>
      </w:pPr>
      <w:r w:rsidRPr="0005073D">
        <w:rPr>
          <w:bCs/>
        </w:rPr>
        <w:t xml:space="preserve">Hayes, John, “Un nuevo marco para la comprensión de lo cognitivo y lo emocional en la escritura”, en </w:t>
      </w:r>
      <w:r w:rsidRPr="0005073D">
        <w:rPr>
          <w:bCs/>
          <w:i/>
        </w:rPr>
        <w:t>TheScience of Writing</w:t>
      </w:r>
      <w:r w:rsidRPr="0005073D">
        <w:rPr>
          <w:bCs/>
        </w:rPr>
        <w:t>, Lawrence ErlbaumAssociates, New Jersey, 1996.</w:t>
      </w:r>
    </w:p>
    <w:p w:rsidR="00841512" w:rsidRPr="001E7E4E" w:rsidRDefault="00841512" w:rsidP="001E7E4E">
      <w:pPr>
        <w:spacing w:after="240" w:line="276" w:lineRule="auto"/>
        <w:jc w:val="both"/>
        <w:rPr>
          <w:bCs/>
          <w:lang w:val="es-AR"/>
        </w:rPr>
      </w:pPr>
      <w:r w:rsidRPr="001E7E4E">
        <w:rPr>
          <w:bCs/>
          <w:lang w:val="es-AR"/>
        </w:rPr>
        <w:t xml:space="preserve">Peirce, Charles </w:t>
      </w:r>
      <w:r>
        <w:rPr>
          <w:bCs/>
          <w:lang w:val="es-AR"/>
        </w:rPr>
        <w:t xml:space="preserve">(1867), </w:t>
      </w:r>
      <w:r w:rsidRPr="001E7E4E">
        <w:rPr>
          <w:bCs/>
          <w:lang w:val="es-AR"/>
        </w:rPr>
        <w:t xml:space="preserve">Manuscrito Nº 40: marzo-diciembre de 1867, en Verón, 2013, </w:t>
      </w:r>
      <w:r w:rsidRPr="001E7E4E">
        <w:rPr>
          <w:bCs/>
          <w:i/>
          <w:iCs/>
          <w:lang w:val="es-ES_tradnl"/>
        </w:rPr>
        <w:t xml:space="preserve">La semiosis social II, </w:t>
      </w:r>
      <w:r w:rsidRPr="001E7E4E">
        <w:rPr>
          <w:bCs/>
          <w:lang w:val="es-ES_tradnl"/>
        </w:rPr>
        <w:t>Buenos Aires, Paidos.</w:t>
      </w:r>
    </w:p>
    <w:p w:rsidR="00841512" w:rsidRDefault="00841512" w:rsidP="00930CC4">
      <w:pPr>
        <w:spacing w:after="240" w:line="276" w:lineRule="auto"/>
        <w:jc w:val="both"/>
      </w:pPr>
      <w:r w:rsidRPr="00930CC4">
        <w:rPr>
          <w:lang w:val="es-AR"/>
        </w:rPr>
        <w:t>Saussure, F</w:t>
      </w:r>
      <w:r>
        <w:rPr>
          <w:lang w:val="es-AR"/>
        </w:rPr>
        <w:t>erdinand</w:t>
      </w:r>
      <w:r w:rsidRPr="00930CC4">
        <w:rPr>
          <w:lang w:val="es-AR"/>
        </w:rPr>
        <w:t xml:space="preserve"> (</w:t>
      </w:r>
      <w:r>
        <w:rPr>
          <w:lang w:val="es-AR"/>
        </w:rPr>
        <w:t>[</w:t>
      </w:r>
      <w:r w:rsidRPr="00930CC4">
        <w:rPr>
          <w:lang w:val="es-AR"/>
        </w:rPr>
        <w:t>1916</w:t>
      </w:r>
      <w:r>
        <w:rPr>
          <w:lang w:val="es-AR"/>
        </w:rPr>
        <w:t>]</w:t>
      </w:r>
      <w:r w:rsidRPr="00930CC4">
        <w:rPr>
          <w:lang w:val="es-AR"/>
        </w:rPr>
        <w:t xml:space="preserve"> 1979)</w:t>
      </w:r>
      <w:r>
        <w:rPr>
          <w:lang w:val="es-AR"/>
        </w:rPr>
        <w:t>,</w:t>
      </w:r>
      <w:r w:rsidRPr="00930CC4">
        <w:rPr>
          <w:i/>
          <w:iCs/>
          <w:lang w:val="es-AR"/>
        </w:rPr>
        <w:t>Curso de Lingüística General</w:t>
      </w:r>
      <w:r w:rsidRPr="00930CC4">
        <w:rPr>
          <w:lang w:val="es-AR"/>
        </w:rPr>
        <w:t xml:space="preserve">, </w:t>
      </w:r>
      <w:r w:rsidRPr="00930CC4">
        <w:rPr>
          <w:i/>
          <w:iCs/>
          <w:lang w:val="es-AR"/>
        </w:rPr>
        <w:t xml:space="preserve">19na. Ed. </w:t>
      </w:r>
      <w:r w:rsidRPr="00930CC4">
        <w:rPr>
          <w:lang w:val="es-AR"/>
        </w:rPr>
        <w:t>Buenos Aires, Losada.</w:t>
      </w:r>
    </w:p>
    <w:p w:rsidR="00841512" w:rsidRDefault="00841512" w:rsidP="006F6BD2">
      <w:pPr>
        <w:spacing w:after="240" w:line="276" w:lineRule="auto"/>
        <w:jc w:val="both"/>
        <w:rPr>
          <w:i/>
          <w:iCs/>
        </w:rPr>
      </w:pPr>
      <w:r w:rsidRPr="003339ED">
        <w:t xml:space="preserve">Silvestri Adriana (2002), “Comunicación y cognición en los Modelos Sociogenéticos: el aporte de Mijaíl Bajtín”. </w:t>
      </w:r>
      <w:r w:rsidRPr="003339ED">
        <w:rPr>
          <w:i/>
          <w:iCs/>
        </w:rPr>
        <w:t>Psykhe, 11</w:t>
      </w:r>
    </w:p>
    <w:p w:rsidR="00841512" w:rsidRPr="00EA1DD6" w:rsidRDefault="00841512" w:rsidP="003D3FBC">
      <w:pPr>
        <w:spacing w:line="360" w:lineRule="auto"/>
        <w:jc w:val="both"/>
        <w:rPr>
          <w:bCs/>
        </w:rPr>
      </w:pPr>
      <w:r w:rsidRPr="00B3735F">
        <w:rPr>
          <w:lang w:val="es-ES_tradnl"/>
        </w:rPr>
        <w:t xml:space="preserve">Silvestri, </w:t>
      </w:r>
      <w:r w:rsidRPr="00EA1DD6">
        <w:rPr>
          <w:bCs/>
        </w:rPr>
        <w:t xml:space="preserve">Adriana (1998), </w:t>
      </w:r>
      <w:r w:rsidRPr="00EA1DD6">
        <w:rPr>
          <w:bCs/>
          <w:i/>
        </w:rPr>
        <w:t>En otras palabras. Las habilidades de reformulación en la producción del texto escrito</w:t>
      </w:r>
      <w:r w:rsidRPr="00EA1DD6">
        <w:rPr>
          <w:bCs/>
        </w:rPr>
        <w:t xml:space="preserve">, Buenos Aires, Cántaro. </w:t>
      </w:r>
    </w:p>
    <w:p w:rsidR="00841512" w:rsidRPr="003339ED" w:rsidRDefault="00841512" w:rsidP="006F6BD2">
      <w:pPr>
        <w:spacing w:after="240" w:line="276" w:lineRule="auto"/>
        <w:jc w:val="both"/>
      </w:pPr>
    </w:p>
    <w:p w:rsidR="00841512" w:rsidRDefault="00841512">
      <w:pPr>
        <w:spacing w:after="240" w:line="276" w:lineRule="auto"/>
        <w:jc w:val="both"/>
      </w:pPr>
      <w:bookmarkStart w:id="0" w:name="_GoBack"/>
      <w:bookmarkEnd w:id="0"/>
    </w:p>
    <w:sectPr w:rsidR="00841512" w:rsidSect="00463066">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1512" w:rsidRDefault="00841512" w:rsidP="008C044F">
      <w:r>
        <w:separator/>
      </w:r>
    </w:p>
  </w:endnote>
  <w:endnote w:type="continuationSeparator" w:id="1">
    <w:p w:rsidR="00841512" w:rsidRDefault="00841512" w:rsidP="008C04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1512" w:rsidRDefault="00841512" w:rsidP="008C044F">
      <w:r>
        <w:separator/>
      </w:r>
    </w:p>
  </w:footnote>
  <w:footnote w:type="continuationSeparator" w:id="1">
    <w:p w:rsidR="00841512" w:rsidRDefault="00841512" w:rsidP="008C04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5104B2"/>
    <w:multiLevelType w:val="multilevel"/>
    <w:tmpl w:val="A0CA0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5B035C41"/>
    <w:multiLevelType w:val="hybridMultilevel"/>
    <w:tmpl w:val="FC40B8F4"/>
    <w:lvl w:ilvl="0" w:tplc="2C0A0003">
      <w:start w:val="1"/>
      <w:numFmt w:val="bullet"/>
      <w:lvlText w:val="o"/>
      <w:lvlJc w:val="left"/>
      <w:pPr>
        <w:ind w:left="720" w:hanging="360"/>
      </w:pPr>
      <w:rPr>
        <w:rFonts w:ascii="Courier New" w:hAnsi="Courier New" w:hint="default"/>
      </w:rPr>
    </w:lvl>
    <w:lvl w:ilvl="1" w:tplc="2C0A0003" w:tentative="1">
      <w:start w:val="1"/>
      <w:numFmt w:val="bullet"/>
      <w:lvlText w:val="o"/>
      <w:lvlJc w:val="left"/>
      <w:pPr>
        <w:ind w:left="1440" w:hanging="360"/>
      </w:pPr>
      <w:rPr>
        <w:rFonts w:ascii="Courier New" w:hAnsi="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6BDC22D2"/>
    <w:multiLevelType w:val="hybridMultilevel"/>
    <w:tmpl w:val="2236B5B8"/>
    <w:lvl w:ilvl="0" w:tplc="2C0A0017">
      <w:start w:val="1"/>
      <w:numFmt w:val="lowerLetter"/>
      <w:lvlText w:val="%1)"/>
      <w:lvlJc w:val="left"/>
      <w:pPr>
        <w:ind w:left="720" w:hanging="360"/>
      </w:pPr>
      <w:rPr>
        <w:rFonts w:cs="Times New Roman"/>
      </w:rPr>
    </w:lvl>
    <w:lvl w:ilvl="1" w:tplc="2C0A0019" w:tentative="1">
      <w:start w:val="1"/>
      <w:numFmt w:val="lowerLetter"/>
      <w:lvlText w:val="%2."/>
      <w:lvlJc w:val="left"/>
      <w:pPr>
        <w:ind w:left="1440" w:hanging="360"/>
      </w:pPr>
      <w:rPr>
        <w:rFonts w:cs="Times New Roman"/>
      </w:rPr>
    </w:lvl>
    <w:lvl w:ilvl="2" w:tplc="2C0A001B" w:tentative="1">
      <w:start w:val="1"/>
      <w:numFmt w:val="lowerRoman"/>
      <w:lvlText w:val="%3."/>
      <w:lvlJc w:val="right"/>
      <w:pPr>
        <w:ind w:left="2160" w:hanging="180"/>
      </w:pPr>
      <w:rPr>
        <w:rFonts w:cs="Times New Roman"/>
      </w:rPr>
    </w:lvl>
    <w:lvl w:ilvl="3" w:tplc="2C0A000F" w:tentative="1">
      <w:start w:val="1"/>
      <w:numFmt w:val="decimal"/>
      <w:lvlText w:val="%4."/>
      <w:lvlJc w:val="left"/>
      <w:pPr>
        <w:ind w:left="2880" w:hanging="360"/>
      </w:pPr>
      <w:rPr>
        <w:rFonts w:cs="Times New Roman"/>
      </w:rPr>
    </w:lvl>
    <w:lvl w:ilvl="4" w:tplc="2C0A0019" w:tentative="1">
      <w:start w:val="1"/>
      <w:numFmt w:val="lowerLetter"/>
      <w:lvlText w:val="%5."/>
      <w:lvlJc w:val="left"/>
      <w:pPr>
        <w:ind w:left="3600" w:hanging="360"/>
      </w:pPr>
      <w:rPr>
        <w:rFonts w:cs="Times New Roman"/>
      </w:rPr>
    </w:lvl>
    <w:lvl w:ilvl="5" w:tplc="2C0A001B" w:tentative="1">
      <w:start w:val="1"/>
      <w:numFmt w:val="lowerRoman"/>
      <w:lvlText w:val="%6."/>
      <w:lvlJc w:val="right"/>
      <w:pPr>
        <w:ind w:left="4320" w:hanging="180"/>
      </w:pPr>
      <w:rPr>
        <w:rFonts w:cs="Times New Roman"/>
      </w:rPr>
    </w:lvl>
    <w:lvl w:ilvl="6" w:tplc="2C0A000F" w:tentative="1">
      <w:start w:val="1"/>
      <w:numFmt w:val="decimal"/>
      <w:lvlText w:val="%7."/>
      <w:lvlJc w:val="left"/>
      <w:pPr>
        <w:ind w:left="5040" w:hanging="360"/>
      </w:pPr>
      <w:rPr>
        <w:rFonts w:cs="Times New Roman"/>
      </w:rPr>
    </w:lvl>
    <w:lvl w:ilvl="7" w:tplc="2C0A0019" w:tentative="1">
      <w:start w:val="1"/>
      <w:numFmt w:val="lowerLetter"/>
      <w:lvlText w:val="%8."/>
      <w:lvlJc w:val="left"/>
      <w:pPr>
        <w:ind w:left="5760" w:hanging="360"/>
      </w:pPr>
      <w:rPr>
        <w:rFonts w:cs="Times New Roman"/>
      </w:rPr>
    </w:lvl>
    <w:lvl w:ilvl="8" w:tplc="2C0A001B" w:tentative="1">
      <w:start w:val="1"/>
      <w:numFmt w:val="lowerRoman"/>
      <w:lvlText w:val="%9."/>
      <w:lvlJc w:val="right"/>
      <w:pPr>
        <w:ind w:left="6480" w:hanging="180"/>
      </w:pPr>
      <w:rPr>
        <w:rFonts w:cs="Times New Roman"/>
      </w:rPr>
    </w:lvl>
  </w:abstractNum>
  <w:abstractNum w:abstractNumId="3">
    <w:nsid w:val="6C472C5D"/>
    <w:multiLevelType w:val="hybridMultilevel"/>
    <w:tmpl w:val="338E26AC"/>
    <w:lvl w:ilvl="0" w:tplc="2C0A0017">
      <w:start w:val="1"/>
      <w:numFmt w:val="lowerLetter"/>
      <w:lvlText w:val="%1)"/>
      <w:lvlJc w:val="left"/>
      <w:pPr>
        <w:ind w:left="720" w:hanging="360"/>
      </w:pPr>
      <w:rPr>
        <w:rFonts w:cs="Times New Roman"/>
      </w:rPr>
    </w:lvl>
    <w:lvl w:ilvl="1" w:tplc="2C0A0019" w:tentative="1">
      <w:start w:val="1"/>
      <w:numFmt w:val="lowerLetter"/>
      <w:lvlText w:val="%2."/>
      <w:lvlJc w:val="left"/>
      <w:pPr>
        <w:ind w:left="1440" w:hanging="360"/>
      </w:pPr>
      <w:rPr>
        <w:rFonts w:cs="Times New Roman"/>
      </w:rPr>
    </w:lvl>
    <w:lvl w:ilvl="2" w:tplc="2C0A001B" w:tentative="1">
      <w:start w:val="1"/>
      <w:numFmt w:val="lowerRoman"/>
      <w:lvlText w:val="%3."/>
      <w:lvlJc w:val="right"/>
      <w:pPr>
        <w:ind w:left="2160" w:hanging="180"/>
      </w:pPr>
      <w:rPr>
        <w:rFonts w:cs="Times New Roman"/>
      </w:rPr>
    </w:lvl>
    <w:lvl w:ilvl="3" w:tplc="2C0A000F" w:tentative="1">
      <w:start w:val="1"/>
      <w:numFmt w:val="decimal"/>
      <w:lvlText w:val="%4."/>
      <w:lvlJc w:val="left"/>
      <w:pPr>
        <w:ind w:left="2880" w:hanging="360"/>
      </w:pPr>
      <w:rPr>
        <w:rFonts w:cs="Times New Roman"/>
      </w:rPr>
    </w:lvl>
    <w:lvl w:ilvl="4" w:tplc="2C0A0019" w:tentative="1">
      <w:start w:val="1"/>
      <w:numFmt w:val="lowerLetter"/>
      <w:lvlText w:val="%5."/>
      <w:lvlJc w:val="left"/>
      <w:pPr>
        <w:ind w:left="3600" w:hanging="360"/>
      </w:pPr>
      <w:rPr>
        <w:rFonts w:cs="Times New Roman"/>
      </w:rPr>
    </w:lvl>
    <w:lvl w:ilvl="5" w:tplc="2C0A001B" w:tentative="1">
      <w:start w:val="1"/>
      <w:numFmt w:val="lowerRoman"/>
      <w:lvlText w:val="%6."/>
      <w:lvlJc w:val="right"/>
      <w:pPr>
        <w:ind w:left="4320" w:hanging="180"/>
      </w:pPr>
      <w:rPr>
        <w:rFonts w:cs="Times New Roman"/>
      </w:rPr>
    </w:lvl>
    <w:lvl w:ilvl="6" w:tplc="2C0A000F" w:tentative="1">
      <w:start w:val="1"/>
      <w:numFmt w:val="decimal"/>
      <w:lvlText w:val="%7."/>
      <w:lvlJc w:val="left"/>
      <w:pPr>
        <w:ind w:left="5040" w:hanging="360"/>
      </w:pPr>
      <w:rPr>
        <w:rFonts w:cs="Times New Roman"/>
      </w:rPr>
    </w:lvl>
    <w:lvl w:ilvl="7" w:tplc="2C0A0019" w:tentative="1">
      <w:start w:val="1"/>
      <w:numFmt w:val="lowerLetter"/>
      <w:lvlText w:val="%8."/>
      <w:lvlJc w:val="left"/>
      <w:pPr>
        <w:ind w:left="5760" w:hanging="360"/>
      </w:pPr>
      <w:rPr>
        <w:rFonts w:cs="Times New Roman"/>
      </w:rPr>
    </w:lvl>
    <w:lvl w:ilvl="8" w:tplc="2C0A001B" w:tentative="1">
      <w:start w:val="1"/>
      <w:numFmt w:val="lowerRoman"/>
      <w:lvlText w:val="%9."/>
      <w:lvlJc w:val="right"/>
      <w:pPr>
        <w:ind w:left="6480" w:hanging="180"/>
      </w:pPr>
      <w:rPr>
        <w:rFonts w:cs="Times New Roman"/>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21B35"/>
    <w:rsid w:val="000340C7"/>
    <w:rsid w:val="00044528"/>
    <w:rsid w:val="0005073D"/>
    <w:rsid w:val="0009528A"/>
    <w:rsid w:val="000C7ADE"/>
    <w:rsid w:val="000D1DFA"/>
    <w:rsid w:val="00116EB4"/>
    <w:rsid w:val="001643F5"/>
    <w:rsid w:val="00177C7A"/>
    <w:rsid w:val="001D181E"/>
    <w:rsid w:val="001D67A4"/>
    <w:rsid w:val="001E7E4E"/>
    <w:rsid w:val="00240681"/>
    <w:rsid w:val="00242F2A"/>
    <w:rsid w:val="002E0AE2"/>
    <w:rsid w:val="003065B3"/>
    <w:rsid w:val="003339ED"/>
    <w:rsid w:val="00337BA5"/>
    <w:rsid w:val="003456CC"/>
    <w:rsid w:val="003769A9"/>
    <w:rsid w:val="003D3FBC"/>
    <w:rsid w:val="0044207A"/>
    <w:rsid w:val="00463066"/>
    <w:rsid w:val="0047414E"/>
    <w:rsid w:val="004774A9"/>
    <w:rsid w:val="004857A3"/>
    <w:rsid w:val="005F5454"/>
    <w:rsid w:val="00631E3A"/>
    <w:rsid w:val="006427F8"/>
    <w:rsid w:val="006F6BD2"/>
    <w:rsid w:val="006F7130"/>
    <w:rsid w:val="007508CB"/>
    <w:rsid w:val="0076145D"/>
    <w:rsid w:val="0078182A"/>
    <w:rsid w:val="007A542C"/>
    <w:rsid w:val="007D632A"/>
    <w:rsid w:val="007E6618"/>
    <w:rsid w:val="00841512"/>
    <w:rsid w:val="00891E17"/>
    <w:rsid w:val="008C044F"/>
    <w:rsid w:val="008C687C"/>
    <w:rsid w:val="008F7D75"/>
    <w:rsid w:val="009214B0"/>
    <w:rsid w:val="00925096"/>
    <w:rsid w:val="00930CC4"/>
    <w:rsid w:val="00932329"/>
    <w:rsid w:val="009D69EA"/>
    <w:rsid w:val="00A53CA3"/>
    <w:rsid w:val="00A57AE3"/>
    <w:rsid w:val="00B10F9A"/>
    <w:rsid w:val="00B3735F"/>
    <w:rsid w:val="00B42741"/>
    <w:rsid w:val="00BA4F6E"/>
    <w:rsid w:val="00BE1891"/>
    <w:rsid w:val="00C4585A"/>
    <w:rsid w:val="00CA014D"/>
    <w:rsid w:val="00CA6D54"/>
    <w:rsid w:val="00CF4E99"/>
    <w:rsid w:val="00D033B6"/>
    <w:rsid w:val="00D57439"/>
    <w:rsid w:val="00EA1DD6"/>
    <w:rsid w:val="00F21B35"/>
    <w:rsid w:val="00FC6989"/>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B35"/>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7414E"/>
    <w:pPr>
      <w:ind w:left="720"/>
      <w:contextualSpacing/>
    </w:pPr>
  </w:style>
  <w:style w:type="paragraph" w:styleId="NormalWeb">
    <w:name w:val="Normal (Web)"/>
    <w:basedOn w:val="Normal"/>
    <w:uiPriority w:val="99"/>
    <w:semiHidden/>
    <w:rsid w:val="00932329"/>
    <w:pPr>
      <w:spacing w:before="100" w:beforeAutospacing="1" w:after="100" w:afterAutospacing="1"/>
    </w:pPr>
    <w:rPr>
      <w:lang w:val="es-AR" w:eastAsia="es-AR"/>
    </w:rPr>
  </w:style>
  <w:style w:type="paragraph" w:styleId="FootnoteText">
    <w:name w:val="footnote text"/>
    <w:basedOn w:val="Normal"/>
    <w:link w:val="FootnoteTextChar"/>
    <w:uiPriority w:val="99"/>
    <w:semiHidden/>
    <w:rsid w:val="008C044F"/>
    <w:rPr>
      <w:sz w:val="20"/>
      <w:szCs w:val="20"/>
    </w:rPr>
  </w:style>
  <w:style w:type="character" w:customStyle="1" w:styleId="FootnoteTextChar">
    <w:name w:val="Footnote Text Char"/>
    <w:basedOn w:val="DefaultParagraphFont"/>
    <w:link w:val="FootnoteText"/>
    <w:uiPriority w:val="99"/>
    <w:semiHidden/>
    <w:locked/>
    <w:rsid w:val="008C044F"/>
    <w:rPr>
      <w:rFonts w:ascii="Times New Roman" w:hAnsi="Times New Roman" w:cs="Times New Roman"/>
      <w:sz w:val="20"/>
      <w:szCs w:val="20"/>
      <w:lang w:val="es-ES" w:eastAsia="es-ES"/>
    </w:rPr>
  </w:style>
  <w:style w:type="character" w:styleId="FootnoteReference">
    <w:name w:val="footnote reference"/>
    <w:basedOn w:val="DefaultParagraphFont"/>
    <w:uiPriority w:val="99"/>
    <w:semiHidden/>
    <w:rsid w:val="008C044F"/>
    <w:rPr>
      <w:rFonts w:cs="Times New Roman"/>
      <w:vertAlign w:val="superscript"/>
    </w:rPr>
  </w:style>
  <w:style w:type="paragraph" w:styleId="DocumentMap">
    <w:name w:val="Document Map"/>
    <w:basedOn w:val="Normal"/>
    <w:link w:val="DocumentMapChar"/>
    <w:uiPriority w:val="99"/>
    <w:semiHidden/>
    <w:rsid w:val="003769A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ascii="Times New Roman" w:hAnsi="Times New Roman" w:cs="Times New Roman"/>
      <w:sz w:val="2"/>
    </w:rPr>
  </w:style>
  <w:style w:type="paragraph" w:customStyle="1" w:styleId="yiv0570792525msonormal">
    <w:name w:val="yiv0570792525msonormal"/>
    <w:basedOn w:val="Normal"/>
    <w:uiPriority w:val="99"/>
    <w:rsid w:val="007D632A"/>
    <w:pPr>
      <w:spacing w:before="100" w:beforeAutospacing="1" w:after="100" w:afterAutospacing="1"/>
    </w:pPr>
    <w:rPr>
      <w:rFonts w:eastAsia="Calibri"/>
    </w:rPr>
  </w:style>
  <w:style w:type="paragraph" w:customStyle="1" w:styleId="yiv0570792525msolistparagraph">
    <w:name w:val="yiv0570792525msolistparagraph"/>
    <w:basedOn w:val="Normal"/>
    <w:uiPriority w:val="99"/>
    <w:rsid w:val="007D632A"/>
    <w:pPr>
      <w:spacing w:before="100" w:beforeAutospacing="1" w:after="100" w:afterAutospacing="1"/>
    </w:pPr>
    <w:rPr>
      <w:rFonts w:eastAsia="Calibri"/>
    </w:rPr>
  </w:style>
  <w:style w:type="character" w:customStyle="1" w:styleId="apple-converted-space">
    <w:name w:val="apple-converted-space"/>
    <w:basedOn w:val="DefaultParagraphFont"/>
    <w:uiPriority w:val="99"/>
    <w:rsid w:val="007D632A"/>
    <w:rPr>
      <w:rFonts w:cs="Times New Roman"/>
    </w:rPr>
  </w:style>
  <w:style w:type="paragraph" w:customStyle="1" w:styleId="yiv0570792525msolistparagraphcxsplast">
    <w:name w:val="yiv0570792525msolistparagraphcxsplast"/>
    <w:basedOn w:val="Normal"/>
    <w:uiPriority w:val="99"/>
    <w:rsid w:val="007D632A"/>
    <w:pPr>
      <w:spacing w:before="100" w:beforeAutospacing="1" w:after="100" w:afterAutospacing="1"/>
    </w:pPr>
    <w:rPr>
      <w:rFonts w:eastAsia="Calibri"/>
    </w:rPr>
  </w:style>
</w:styles>
</file>

<file path=word/webSettings.xml><?xml version="1.0" encoding="utf-8"?>
<w:webSettings xmlns:r="http://schemas.openxmlformats.org/officeDocument/2006/relationships" xmlns:w="http://schemas.openxmlformats.org/wordprocessingml/2006/main">
  <w:divs>
    <w:div w:id="696388263">
      <w:marLeft w:val="0"/>
      <w:marRight w:val="0"/>
      <w:marTop w:val="0"/>
      <w:marBottom w:val="0"/>
      <w:divBdr>
        <w:top w:val="none" w:sz="0" w:space="0" w:color="auto"/>
        <w:left w:val="none" w:sz="0" w:space="0" w:color="auto"/>
        <w:bottom w:val="none" w:sz="0" w:space="0" w:color="auto"/>
        <w:right w:val="none" w:sz="0" w:space="0" w:color="auto"/>
      </w:divBdr>
    </w:div>
    <w:div w:id="6963882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6</Pages>
  <Words>2104</Words>
  <Characters>11578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la semiosis plástica del apunte a su reformulación</dc:title>
  <dc:subject/>
  <dc:creator>María Elena</dc:creator>
  <cp:keywords/>
  <dc:description/>
  <cp:lastModifiedBy>Marisa</cp:lastModifiedBy>
  <cp:revision>7</cp:revision>
  <cp:lastPrinted>2017-06-30T17:27:00Z</cp:lastPrinted>
  <dcterms:created xsi:type="dcterms:W3CDTF">2017-06-30T23:02:00Z</dcterms:created>
  <dcterms:modified xsi:type="dcterms:W3CDTF">2017-06-30T23:08:00Z</dcterms:modified>
</cp:coreProperties>
</file>